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9B94" w14:textId="77777777" w:rsidR="005B530F" w:rsidRDefault="005B530F">
      <w:pPr>
        <w:ind w:left="1134"/>
        <w:rPr>
          <w:b/>
        </w:rPr>
      </w:pPr>
    </w:p>
    <w:p w14:paraId="19E44CF1" w14:textId="77777777" w:rsidR="005B530F" w:rsidRDefault="005B530F">
      <w:pPr>
        <w:ind w:left="1134"/>
        <w:rPr>
          <w:b/>
        </w:rPr>
      </w:pPr>
    </w:p>
    <w:p w14:paraId="66687AA9" w14:textId="77777777" w:rsidR="005B530F" w:rsidRDefault="00A77362">
      <w:pPr>
        <w:ind w:left="1134"/>
        <w:rPr>
          <w:b/>
        </w:rPr>
      </w:pPr>
      <w:r>
        <w:rPr>
          <w:b/>
        </w:rPr>
        <w:t xml:space="preserve">ALCANCE </w:t>
      </w:r>
    </w:p>
    <w:p w14:paraId="51369FAD" w14:textId="77777777" w:rsidR="005B530F" w:rsidRDefault="00A77362">
      <w:pPr>
        <w:ind w:left="1134"/>
      </w:pPr>
      <w:r>
        <w:t>La extensión y límites del Sistema Integrado de Gestión se define mediante :</w:t>
      </w:r>
    </w:p>
    <w:p w14:paraId="37989A79" w14:textId="77777777" w:rsidR="005B530F" w:rsidRDefault="005B530F">
      <w:pPr>
        <w:ind w:left="1134"/>
      </w:pPr>
    </w:p>
    <w:p w14:paraId="746AD9A3" w14:textId="7F921A96" w:rsidR="005B530F" w:rsidRDefault="00A77362">
      <w:pPr>
        <w:ind w:left="1134"/>
        <w:rPr>
          <w:i/>
        </w:rPr>
      </w:pPr>
      <w:r>
        <w:rPr>
          <w:i/>
        </w:rPr>
        <w:t>“El Alcance del Sistema Integrado de Gestión del Instituto Tecnológico de Culiacán está determinado por el proceso educativo que comprende desde la selección del estudiante, hasta el seguimiento de egresados</w:t>
      </w:r>
      <w:r w:rsidR="0057218A" w:rsidRPr="00372A9F">
        <w:rPr>
          <w:i/>
        </w:rPr>
        <w:t xml:space="preserve"> a </w:t>
      </w:r>
      <w:r w:rsidR="0057218A" w:rsidRPr="003E7F6E">
        <w:rPr>
          <w:i/>
        </w:rPr>
        <w:t>nivel licenciatura</w:t>
      </w:r>
      <w:r w:rsidRPr="0057218A">
        <w:rPr>
          <w:i/>
          <w:color w:val="FF0000"/>
        </w:rPr>
        <w:t xml:space="preserve"> </w:t>
      </w:r>
      <w:r>
        <w:rPr>
          <w:i/>
        </w:rPr>
        <w:t>establecidos en sus áreas académicas y administrativas, lo cual permite a través de sus áreas de desempeño, la cobertura desde la identificación de aspectos ambientales en laboratorios y talleres, así como, actividades de mantenimiento y servicios generales cuidando dentro de estos procesos, la seguridad y salud en el trabajo y la mejora de su desempeño energético, su regulación y cumplimiento legal consideradas en las cuestiones internas y externas del contexto de la organización”.</w:t>
      </w:r>
    </w:p>
    <w:p w14:paraId="60229127" w14:textId="29275D10" w:rsidR="00C353F5" w:rsidRDefault="00C353F5">
      <w:pPr>
        <w:ind w:left="1134"/>
        <w:rPr>
          <w:i/>
        </w:rPr>
      </w:pPr>
    </w:p>
    <w:p w14:paraId="6629E4C2" w14:textId="7039DE49" w:rsidR="00C353F5" w:rsidRDefault="00C353F5">
      <w:pPr>
        <w:ind w:left="1134"/>
        <w:rPr>
          <w:i/>
        </w:rPr>
      </w:pPr>
    </w:p>
    <w:p w14:paraId="7711815D" w14:textId="5FBBDA4C" w:rsidR="00C353F5" w:rsidRPr="00332333" w:rsidRDefault="00C353F5">
      <w:pPr>
        <w:ind w:left="1134"/>
        <w:rPr>
          <w:iCs/>
        </w:rPr>
      </w:pPr>
      <w:r w:rsidRPr="00332333">
        <w:rPr>
          <w:iCs/>
        </w:rPr>
        <w:t>La aplicabilidad del alcance en sus unidades, funciones y límites físicos de la organización esta determinada de la siguiente manera:</w:t>
      </w:r>
    </w:p>
    <w:p w14:paraId="44B28B06" w14:textId="77777777" w:rsidR="00C353F5" w:rsidRPr="00332333" w:rsidRDefault="00C353F5">
      <w:pPr>
        <w:rPr>
          <w:iCs/>
        </w:rPr>
      </w:pPr>
      <w:r w:rsidRPr="00332333">
        <w:rPr>
          <w:iCs/>
        </w:rPr>
        <w:br w:type="page"/>
      </w:r>
    </w:p>
    <w:p w14:paraId="77FD3892" w14:textId="77777777" w:rsidR="00C353F5" w:rsidRDefault="00C353F5">
      <w:pPr>
        <w:ind w:left="1134"/>
        <w:rPr>
          <w:i/>
        </w:rPr>
        <w:sectPr w:rsidR="00C353F5" w:rsidSect="00C353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p w14:paraId="29DB5E42" w14:textId="77777777" w:rsidR="00C353F5" w:rsidRDefault="00C353F5">
      <w:pPr>
        <w:ind w:left="1134"/>
        <w:rPr>
          <w:i/>
        </w:rPr>
      </w:pPr>
    </w:p>
    <w:tbl>
      <w:tblPr>
        <w:tblStyle w:val="TableNormal1"/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8"/>
        <w:gridCol w:w="1417"/>
        <w:gridCol w:w="1418"/>
        <w:gridCol w:w="1417"/>
        <w:gridCol w:w="1418"/>
        <w:gridCol w:w="2835"/>
      </w:tblGrid>
      <w:tr w:rsidR="00C353F5" w:rsidRPr="00C353F5" w14:paraId="60881617" w14:textId="77777777" w:rsidTr="00F262F3">
        <w:trPr>
          <w:trHeight w:val="219"/>
        </w:trPr>
        <w:tc>
          <w:tcPr>
            <w:tcW w:w="5671" w:type="dxa"/>
            <w:gridSpan w:val="2"/>
            <w:vMerge w:val="restart"/>
            <w:shd w:val="clear" w:color="auto" w:fill="17365D"/>
          </w:tcPr>
          <w:p w14:paraId="1E382CC6" w14:textId="77777777" w:rsidR="00C353F5" w:rsidRPr="00C353F5" w:rsidRDefault="00C353F5" w:rsidP="00C353F5">
            <w:pPr>
              <w:spacing w:before="1"/>
              <w:ind w:left="2140" w:right="2130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|</w:t>
            </w:r>
          </w:p>
        </w:tc>
        <w:tc>
          <w:tcPr>
            <w:tcW w:w="1417" w:type="dxa"/>
            <w:shd w:val="clear" w:color="auto" w:fill="17365D"/>
          </w:tcPr>
          <w:p w14:paraId="6C1A61EC" w14:textId="77777777" w:rsidR="00C353F5" w:rsidRPr="00C353F5" w:rsidRDefault="00C353F5" w:rsidP="00C353F5">
            <w:pPr>
              <w:jc w:val="center"/>
              <w:rPr>
                <w:rFonts w:ascii="Times New Roman" w:eastAsia="Arial" w:cs="Arial"/>
                <w:noProof w:val="0"/>
                <w:sz w:val="14"/>
                <w:lang w:eastAsia="en-US"/>
              </w:rPr>
            </w:pPr>
          </w:p>
        </w:tc>
        <w:tc>
          <w:tcPr>
            <w:tcW w:w="7088" w:type="dxa"/>
            <w:gridSpan w:val="4"/>
            <w:shd w:val="clear" w:color="auto" w:fill="17365D"/>
          </w:tcPr>
          <w:p w14:paraId="4B2B8B34" w14:textId="77777777" w:rsidR="00C353F5" w:rsidRPr="00C353F5" w:rsidRDefault="00C353F5" w:rsidP="00C353F5">
            <w:pPr>
              <w:spacing w:before="7" w:line="192" w:lineRule="exact"/>
              <w:ind w:left="2454" w:right="244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APLICABILIDAD</w:t>
            </w:r>
          </w:p>
        </w:tc>
      </w:tr>
      <w:tr w:rsidR="00C353F5" w:rsidRPr="00C353F5" w14:paraId="3681424C" w14:textId="77777777" w:rsidTr="00F262F3">
        <w:trPr>
          <w:trHeight w:val="446"/>
        </w:trPr>
        <w:tc>
          <w:tcPr>
            <w:tcW w:w="5671" w:type="dxa"/>
            <w:gridSpan w:val="2"/>
            <w:vMerge/>
            <w:shd w:val="clear" w:color="auto" w:fill="17365D"/>
          </w:tcPr>
          <w:p w14:paraId="5FC46624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1417" w:type="dxa"/>
            <w:shd w:val="clear" w:color="auto" w:fill="17365D"/>
          </w:tcPr>
          <w:p w14:paraId="0C8F619A" w14:textId="77777777" w:rsidR="00C353F5" w:rsidRPr="00C353F5" w:rsidRDefault="00C353F5" w:rsidP="00C353F5">
            <w:pPr>
              <w:spacing w:line="209" w:lineRule="exact"/>
              <w:ind w:left="204" w:right="197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ISO</w:t>
            </w:r>
          </w:p>
          <w:p w14:paraId="73A00159" w14:textId="77777777" w:rsidR="00C353F5" w:rsidRPr="00C353F5" w:rsidRDefault="00C353F5" w:rsidP="00C353F5">
            <w:pPr>
              <w:spacing w:before="4" w:line="213" w:lineRule="exact"/>
              <w:ind w:left="204" w:right="198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21001:2018</w:t>
            </w:r>
          </w:p>
        </w:tc>
        <w:tc>
          <w:tcPr>
            <w:tcW w:w="1418" w:type="dxa"/>
            <w:shd w:val="clear" w:color="auto" w:fill="17365D"/>
          </w:tcPr>
          <w:p w14:paraId="5C609A35" w14:textId="77777777" w:rsidR="00C353F5" w:rsidRPr="00C353F5" w:rsidRDefault="00C353F5" w:rsidP="00C353F5">
            <w:pPr>
              <w:spacing w:line="209" w:lineRule="exact"/>
              <w:ind w:left="219" w:right="206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ISO</w:t>
            </w:r>
          </w:p>
          <w:p w14:paraId="0108CC3C" w14:textId="77777777" w:rsidR="00C353F5" w:rsidRPr="00C353F5" w:rsidRDefault="00C353F5" w:rsidP="00C353F5">
            <w:pPr>
              <w:spacing w:before="4" w:line="213" w:lineRule="exact"/>
              <w:ind w:left="219" w:right="207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14001:2015</w:t>
            </w:r>
          </w:p>
        </w:tc>
        <w:tc>
          <w:tcPr>
            <w:tcW w:w="1417" w:type="dxa"/>
            <w:shd w:val="clear" w:color="auto" w:fill="17365D"/>
          </w:tcPr>
          <w:p w14:paraId="498FB944" w14:textId="77777777" w:rsidR="00C353F5" w:rsidRPr="00C353F5" w:rsidRDefault="00C353F5" w:rsidP="00C353F5">
            <w:pPr>
              <w:spacing w:line="209" w:lineRule="exact"/>
              <w:ind w:left="219" w:right="206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ISO</w:t>
            </w:r>
          </w:p>
          <w:p w14:paraId="29C34AA2" w14:textId="77777777" w:rsidR="00C353F5" w:rsidRPr="00C353F5" w:rsidRDefault="00C353F5" w:rsidP="00C353F5">
            <w:pPr>
              <w:spacing w:before="4" w:line="213" w:lineRule="exact"/>
              <w:ind w:left="219" w:right="207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45001:2018</w:t>
            </w:r>
          </w:p>
        </w:tc>
        <w:tc>
          <w:tcPr>
            <w:tcW w:w="1418" w:type="dxa"/>
            <w:shd w:val="clear" w:color="auto" w:fill="17365D"/>
          </w:tcPr>
          <w:p w14:paraId="4413017E" w14:textId="77777777" w:rsidR="00C353F5" w:rsidRPr="00C353F5" w:rsidRDefault="00C353F5" w:rsidP="00C353F5">
            <w:pPr>
              <w:spacing w:line="209" w:lineRule="exact"/>
              <w:ind w:left="244" w:right="240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ISO</w:t>
            </w:r>
          </w:p>
          <w:p w14:paraId="282D140B" w14:textId="77777777" w:rsidR="00C353F5" w:rsidRPr="00C353F5" w:rsidRDefault="00C353F5" w:rsidP="00C353F5">
            <w:pPr>
              <w:spacing w:before="4" w:line="213" w:lineRule="exact"/>
              <w:ind w:left="244" w:right="240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50001:2018</w:t>
            </w:r>
          </w:p>
        </w:tc>
        <w:tc>
          <w:tcPr>
            <w:tcW w:w="2835" w:type="dxa"/>
            <w:shd w:val="clear" w:color="auto" w:fill="17365D"/>
          </w:tcPr>
          <w:p w14:paraId="6466B898" w14:textId="77777777" w:rsidR="00C353F5" w:rsidRPr="00C353F5" w:rsidRDefault="00C353F5" w:rsidP="00C353F5">
            <w:pPr>
              <w:spacing w:line="209" w:lineRule="exact"/>
              <w:ind w:left="404" w:right="403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UNIDAD</w:t>
            </w:r>
          </w:p>
          <w:p w14:paraId="53C48DD0" w14:textId="77777777" w:rsidR="00C353F5" w:rsidRPr="00C353F5" w:rsidRDefault="00C353F5" w:rsidP="00C353F5">
            <w:pPr>
              <w:spacing w:before="4" w:line="213" w:lineRule="exact"/>
              <w:ind w:left="405" w:right="403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color w:val="FFFFFF"/>
                <w:sz w:val="20"/>
                <w:lang w:eastAsia="en-US"/>
              </w:rPr>
              <w:t>RESPONSIBLE</w:t>
            </w:r>
          </w:p>
        </w:tc>
      </w:tr>
      <w:tr w:rsidR="00C353F5" w:rsidRPr="00C353F5" w14:paraId="20EF5A71" w14:textId="77777777" w:rsidTr="00D16015">
        <w:trPr>
          <w:trHeight w:val="464"/>
        </w:trPr>
        <w:tc>
          <w:tcPr>
            <w:tcW w:w="1843" w:type="dxa"/>
            <w:vMerge w:val="restart"/>
            <w:shd w:val="clear" w:color="auto" w:fill="17365D"/>
          </w:tcPr>
          <w:p w14:paraId="17D9405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lang w:eastAsia="en-US"/>
              </w:rPr>
            </w:pPr>
          </w:p>
          <w:p w14:paraId="0487191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lang w:eastAsia="en-US"/>
              </w:rPr>
            </w:pPr>
          </w:p>
          <w:p w14:paraId="4DD9362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lang w:eastAsia="en-US"/>
              </w:rPr>
            </w:pPr>
          </w:p>
          <w:p w14:paraId="20FF70F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lang w:eastAsia="en-US"/>
              </w:rPr>
            </w:pPr>
          </w:p>
          <w:p w14:paraId="029DF580" w14:textId="77777777" w:rsidR="00C353F5" w:rsidRPr="00C353F5" w:rsidRDefault="00C353F5" w:rsidP="00C353F5">
            <w:pPr>
              <w:spacing w:before="160"/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PLANIFICACIÓN</w:t>
            </w:r>
          </w:p>
        </w:tc>
        <w:tc>
          <w:tcPr>
            <w:tcW w:w="3828" w:type="dxa"/>
          </w:tcPr>
          <w:p w14:paraId="00DFD857" w14:textId="77777777" w:rsidR="00C353F5" w:rsidRPr="00C353F5" w:rsidRDefault="00C353F5" w:rsidP="00C353F5">
            <w:pPr>
              <w:spacing w:before="17" w:line="230" w:lineRule="atLeast"/>
              <w:ind w:left="115" w:right="517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Identificación y evaluación de peligros y riesgos de seguridad y salud.</w:t>
            </w:r>
          </w:p>
        </w:tc>
        <w:tc>
          <w:tcPr>
            <w:tcW w:w="1417" w:type="dxa"/>
            <w:shd w:val="clear" w:color="auto" w:fill="auto"/>
          </w:tcPr>
          <w:p w14:paraId="267B34D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A7AFA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3F0BBC7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4A8C0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06EBD8F8" w14:textId="77777777" w:rsidR="00C353F5" w:rsidRPr="00C353F5" w:rsidRDefault="00C353F5" w:rsidP="00C353F5">
            <w:pPr>
              <w:spacing w:before="17" w:line="230" w:lineRule="atLeast"/>
              <w:ind w:left="320" w:right="195" w:hanging="105"/>
              <w:jc w:val="center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Coordinación de Seguridad y Salud en el Trabajo (CSST).</w:t>
            </w:r>
          </w:p>
        </w:tc>
      </w:tr>
      <w:tr w:rsidR="00C353F5" w:rsidRPr="00C353F5" w14:paraId="321B1E1B" w14:textId="77777777" w:rsidTr="00B3218B">
        <w:trPr>
          <w:trHeight w:val="448"/>
        </w:trPr>
        <w:tc>
          <w:tcPr>
            <w:tcW w:w="1843" w:type="dxa"/>
            <w:vMerge/>
            <w:shd w:val="clear" w:color="auto" w:fill="17365D"/>
          </w:tcPr>
          <w:p w14:paraId="196D6B4F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15BA6967" w14:textId="77777777" w:rsidR="00C353F5" w:rsidRPr="00C353F5" w:rsidRDefault="00C353F5" w:rsidP="00C353F5">
            <w:pPr>
              <w:spacing w:before="92"/>
              <w:ind w:left="115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Identificar aspectos ambientales y su significancia.</w:t>
            </w:r>
          </w:p>
        </w:tc>
        <w:tc>
          <w:tcPr>
            <w:tcW w:w="1417" w:type="dxa"/>
          </w:tcPr>
          <w:p w14:paraId="2B6A54A2" w14:textId="77777777" w:rsidR="00C353F5" w:rsidRPr="00C353F5" w:rsidRDefault="00C353F5" w:rsidP="00C353F5">
            <w:pPr>
              <w:spacing w:before="92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293D97E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</w:tcPr>
          <w:p w14:paraId="3AF86217" w14:textId="77777777" w:rsidR="00C353F5" w:rsidRPr="00C353F5" w:rsidRDefault="00C353F5" w:rsidP="00C353F5">
            <w:pPr>
              <w:spacing w:before="9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</w:tcPr>
          <w:p w14:paraId="65D7CD8B" w14:textId="77777777" w:rsidR="00C353F5" w:rsidRPr="00C353F5" w:rsidRDefault="00C353F5" w:rsidP="00C353F5">
            <w:pPr>
              <w:spacing w:before="9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22F52863" w14:textId="77777777" w:rsidR="00C353F5" w:rsidRPr="00C353F5" w:rsidRDefault="00C353F5" w:rsidP="00C353F5">
            <w:pPr>
              <w:spacing w:before="92"/>
              <w:ind w:left="157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Coordinación Ambiental (CA)</w:t>
            </w:r>
          </w:p>
        </w:tc>
      </w:tr>
      <w:tr w:rsidR="00C353F5" w:rsidRPr="00C353F5" w14:paraId="3DF5A0D9" w14:textId="77777777" w:rsidTr="00B3218B">
        <w:trPr>
          <w:trHeight w:val="503"/>
        </w:trPr>
        <w:tc>
          <w:tcPr>
            <w:tcW w:w="1843" w:type="dxa"/>
            <w:vMerge/>
            <w:shd w:val="clear" w:color="auto" w:fill="17365D"/>
          </w:tcPr>
          <w:p w14:paraId="555EB7DE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2DC0931F" w14:textId="77777777" w:rsidR="00C353F5" w:rsidRPr="00C353F5" w:rsidRDefault="00C353F5" w:rsidP="00C353F5">
            <w:pPr>
              <w:spacing w:before="16" w:line="244" w:lineRule="auto"/>
              <w:ind w:left="115" w:right="280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Identificación y evaluación de requisitos legales aplicables y otros requisitos.</w:t>
            </w:r>
          </w:p>
        </w:tc>
        <w:tc>
          <w:tcPr>
            <w:tcW w:w="1417" w:type="dxa"/>
          </w:tcPr>
          <w:p w14:paraId="4FD8CD13" w14:textId="77777777" w:rsidR="00C353F5" w:rsidRPr="00C353F5" w:rsidRDefault="00C353F5" w:rsidP="00C353F5">
            <w:pPr>
              <w:spacing w:after="160" w:line="259" w:lineRule="auto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  <w:p w14:paraId="4B403050" w14:textId="77777777" w:rsidR="00C353F5" w:rsidRPr="00C353F5" w:rsidRDefault="00C353F5" w:rsidP="00C353F5">
            <w:pPr>
              <w:spacing w:before="16" w:line="244" w:lineRule="auto"/>
              <w:ind w:right="1829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788A41C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6B0B666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2F63A2D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1C6A8824" w14:textId="77777777" w:rsidR="00C353F5" w:rsidRPr="00C353F5" w:rsidRDefault="00C353F5" w:rsidP="00C353F5">
            <w:pPr>
              <w:spacing w:before="16" w:line="244" w:lineRule="auto"/>
              <w:ind w:left="498" w:right="200" w:hanging="274"/>
              <w:jc w:val="center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Coordinación de CSST, CA, CEn</w:t>
            </w:r>
          </w:p>
        </w:tc>
      </w:tr>
      <w:tr w:rsidR="00C353F5" w:rsidRPr="00C353F5" w14:paraId="301E4D07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13288185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13FD993F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Consumo y uso eficiente de energía</w:t>
            </w:r>
          </w:p>
        </w:tc>
        <w:tc>
          <w:tcPr>
            <w:tcW w:w="1417" w:type="dxa"/>
          </w:tcPr>
          <w:p w14:paraId="02ECB5C5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05FCAA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</w:tcPr>
          <w:p w14:paraId="56BAE525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5AF58FA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19962536" w14:textId="77777777" w:rsidR="00C353F5" w:rsidRPr="00C353F5" w:rsidRDefault="00C353F5" w:rsidP="00C353F5">
            <w:pPr>
              <w:spacing w:before="23" w:line="230" w:lineRule="atLeast"/>
              <w:ind w:left="822" w:right="200" w:hanging="598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Coordinación energética (CEn), CA</w:t>
            </w:r>
          </w:p>
        </w:tc>
      </w:tr>
      <w:tr w:rsidR="00C353F5" w:rsidRPr="00C353F5" w14:paraId="0569FE1C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157DD92A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800EF03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Identificación de riesgos</w:t>
            </w:r>
          </w:p>
        </w:tc>
        <w:tc>
          <w:tcPr>
            <w:tcW w:w="1417" w:type="dxa"/>
            <w:shd w:val="clear" w:color="auto" w:fill="111AD3"/>
          </w:tcPr>
          <w:p w14:paraId="76DDF5E4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3C2F27AF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78124827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7066E95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71395E3" w14:textId="77777777" w:rsidR="00C353F5" w:rsidRPr="00C353F5" w:rsidRDefault="00C353F5" w:rsidP="00C353F5">
            <w:pPr>
              <w:spacing w:before="23" w:line="230" w:lineRule="atLeast"/>
              <w:ind w:left="822" w:right="200" w:hanging="598"/>
              <w:jc w:val="center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Coordinación de CSST, CA, Cen, Coordinación de calidad</w:t>
            </w:r>
          </w:p>
        </w:tc>
      </w:tr>
      <w:tr w:rsidR="00C353F5" w:rsidRPr="00C353F5" w14:paraId="736DC7B6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4E462714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7455F8DD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Investigación de incidentes y accidentes.</w:t>
            </w:r>
          </w:p>
        </w:tc>
        <w:tc>
          <w:tcPr>
            <w:tcW w:w="1417" w:type="dxa"/>
          </w:tcPr>
          <w:p w14:paraId="213924E2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48A97A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069A69B7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D6546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75706208" w14:textId="77777777" w:rsidR="00C353F5" w:rsidRPr="00C353F5" w:rsidRDefault="00C353F5" w:rsidP="00C353F5">
            <w:pPr>
              <w:spacing w:before="23" w:line="230" w:lineRule="atLeast"/>
              <w:ind w:left="822" w:right="200" w:hanging="598"/>
              <w:jc w:val="center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Coordinación de Seguridad y Salud en el Trabajo (CSST).</w:t>
            </w:r>
          </w:p>
        </w:tc>
      </w:tr>
      <w:tr w:rsidR="00C353F5" w:rsidRPr="00C353F5" w14:paraId="49E82EAB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5593863B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17915BAE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Respuesta ante emergencias</w:t>
            </w:r>
          </w:p>
        </w:tc>
        <w:tc>
          <w:tcPr>
            <w:tcW w:w="1417" w:type="dxa"/>
          </w:tcPr>
          <w:p w14:paraId="3E76D84F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70552E15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0ED5BE3D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EFDF2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550054C" w14:textId="77777777" w:rsidR="00C353F5" w:rsidRPr="00C353F5" w:rsidRDefault="00C353F5" w:rsidP="00C353F5">
            <w:pPr>
              <w:spacing w:before="23" w:line="230" w:lineRule="atLeast"/>
              <w:ind w:left="822" w:right="200" w:hanging="598"/>
              <w:jc w:val="center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Coordinación Ambiental (CA) y CSST.</w:t>
            </w:r>
          </w:p>
        </w:tc>
      </w:tr>
      <w:tr w:rsidR="00C353F5" w:rsidRPr="00C353F5" w14:paraId="6338FA17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6B532BD6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70C5A926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Planificación y revisión energética.</w:t>
            </w:r>
          </w:p>
        </w:tc>
        <w:tc>
          <w:tcPr>
            <w:tcW w:w="1417" w:type="dxa"/>
          </w:tcPr>
          <w:p w14:paraId="69F7131C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46A50033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43057500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43665DF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49307658" w14:textId="77777777" w:rsidR="00C353F5" w:rsidRPr="00C353F5" w:rsidRDefault="00C353F5" w:rsidP="00C353F5">
            <w:pPr>
              <w:spacing w:before="23" w:line="230" w:lineRule="atLeast"/>
              <w:ind w:left="822" w:right="200" w:hanging="598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Coordinación Energética (CEn)</w:t>
            </w:r>
          </w:p>
        </w:tc>
      </w:tr>
      <w:tr w:rsidR="00C353F5" w:rsidRPr="00C353F5" w14:paraId="08A4A8E3" w14:textId="77777777" w:rsidTr="00B3218B">
        <w:trPr>
          <w:trHeight w:val="508"/>
        </w:trPr>
        <w:tc>
          <w:tcPr>
            <w:tcW w:w="1843" w:type="dxa"/>
            <w:vMerge w:val="restart"/>
            <w:shd w:val="clear" w:color="auto" w:fill="17365D"/>
          </w:tcPr>
          <w:p w14:paraId="1BDF2251" w14:textId="77777777" w:rsidR="00C353F5" w:rsidRPr="00C353F5" w:rsidRDefault="00C353F5" w:rsidP="00C353F5">
            <w:pPr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5A344EB9" w14:textId="77777777" w:rsidR="00C353F5" w:rsidRPr="00C353F5" w:rsidRDefault="00C353F5" w:rsidP="00C353F5">
            <w:pPr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23BCEC1F" w14:textId="77777777" w:rsidR="00C353F5" w:rsidRPr="00C353F5" w:rsidRDefault="00C353F5" w:rsidP="00C353F5">
            <w:pPr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21BB1DBB" w14:textId="77777777" w:rsidR="00C353F5" w:rsidRPr="00C353F5" w:rsidRDefault="00C353F5" w:rsidP="00C353F5">
            <w:pPr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227058D1" w14:textId="77777777" w:rsidR="00C353F5" w:rsidRPr="00C353F5" w:rsidRDefault="00C353F5" w:rsidP="00C353F5">
            <w:pPr>
              <w:ind w:left="296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4B0C0126" w14:textId="77777777" w:rsidR="00C353F5" w:rsidRPr="00C353F5" w:rsidRDefault="00C353F5" w:rsidP="00C353F5">
            <w:pPr>
              <w:ind w:left="296"/>
              <w:jc w:val="center"/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APOYO</w:t>
            </w:r>
          </w:p>
        </w:tc>
        <w:tc>
          <w:tcPr>
            <w:tcW w:w="3828" w:type="dxa"/>
          </w:tcPr>
          <w:p w14:paraId="2694E3A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19"/>
                <w:lang w:eastAsia="en-US"/>
              </w:rPr>
            </w:pPr>
          </w:p>
          <w:p w14:paraId="38ED3C47" w14:textId="77777777" w:rsidR="00C353F5" w:rsidRPr="00C353F5" w:rsidRDefault="00C353F5" w:rsidP="00C353F5">
            <w:pPr>
              <w:ind w:left="115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POA</w:t>
            </w:r>
          </w:p>
        </w:tc>
        <w:tc>
          <w:tcPr>
            <w:tcW w:w="1417" w:type="dxa"/>
            <w:shd w:val="clear" w:color="auto" w:fill="111AD3"/>
          </w:tcPr>
          <w:p w14:paraId="002E50C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0BDCB13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2C8842A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02730D6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12D61135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Planeación Programación</w:t>
            </w:r>
            <w:r w:rsidRPr="00C353F5">
              <w:rPr>
                <w:rFonts w:ascii="Arial Narrow" w:eastAsia="Arial" w:hAnsi="Arial Narrow" w:cs="Arial"/>
                <w:noProof w:val="0"/>
                <w:spacing w:val="-4"/>
                <w:sz w:val="20"/>
                <w:lang w:eastAsia="en-US"/>
              </w:rPr>
              <w:t xml:space="preserve"> </w:t>
            </w:r>
            <w:r w:rsidRPr="00C353F5">
              <w:rPr>
                <w:rFonts w:ascii="Arial Narrow" w:eastAsia="Arial" w:hAnsi="Arial Narrow" w:cs="Arial"/>
                <w:noProof w:val="0"/>
                <w:spacing w:val="-13"/>
                <w:sz w:val="20"/>
                <w:lang w:eastAsia="en-US"/>
              </w:rPr>
              <w:t>y</w:t>
            </w:r>
          </w:p>
          <w:p w14:paraId="395EE5DA" w14:textId="77777777" w:rsidR="00C353F5" w:rsidRPr="00C353F5" w:rsidRDefault="00C353F5" w:rsidP="00C353F5">
            <w:pPr>
              <w:spacing w:line="230" w:lineRule="atLeast"/>
              <w:ind w:left="302" w:right="196" w:hanging="83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Presupuestación</w:t>
            </w:r>
          </w:p>
        </w:tc>
      </w:tr>
      <w:tr w:rsidR="00C353F5" w:rsidRPr="00C353F5" w14:paraId="5C19579E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2FEFCF9A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DFC173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  <w:p w14:paraId="6B12A13E" w14:textId="77777777" w:rsidR="00C353F5" w:rsidRPr="00C353F5" w:rsidRDefault="00C353F5" w:rsidP="00C353F5">
            <w:pPr>
              <w:ind w:left="115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PTA</w:t>
            </w:r>
          </w:p>
        </w:tc>
        <w:tc>
          <w:tcPr>
            <w:tcW w:w="1417" w:type="dxa"/>
            <w:shd w:val="clear" w:color="auto" w:fill="111AD3"/>
          </w:tcPr>
          <w:p w14:paraId="44C0BDA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3139CDA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1193227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549CE0F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216EC84F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Planeación Programación</w:t>
            </w:r>
            <w:r w:rsidRPr="00C353F5">
              <w:rPr>
                <w:rFonts w:ascii="Arial Narrow" w:eastAsia="Arial" w:hAnsi="Arial Narrow" w:cs="Arial"/>
                <w:noProof w:val="0"/>
                <w:spacing w:val="-4"/>
                <w:sz w:val="20"/>
                <w:lang w:eastAsia="en-US"/>
              </w:rPr>
              <w:t xml:space="preserve"> </w:t>
            </w:r>
            <w:r w:rsidRPr="00C353F5">
              <w:rPr>
                <w:rFonts w:ascii="Arial Narrow" w:eastAsia="Arial" w:hAnsi="Arial Narrow" w:cs="Arial"/>
                <w:noProof w:val="0"/>
                <w:spacing w:val="-13"/>
                <w:sz w:val="20"/>
                <w:lang w:eastAsia="en-US"/>
              </w:rPr>
              <w:t>y</w:t>
            </w:r>
          </w:p>
          <w:p w14:paraId="3207461B" w14:textId="77777777" w:rsidR="00C353F5" w:rsidRPr="00C353F5" w:rsidRDefault="00C353F5" w:rsidP="00C353F5">
            <w:pPr>
              <w:spacing w:line="230" w:lineRule="atLeast"/>
              <w:ind w:left="302" w:right="196" w:hanging="83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Presupuestación</w:t>
            </w:r>
          </w:p>
        </w:tc>
      </w:tr>
      <w:tr w:rsidR="00C353F5" w:rsidRPr="00C353F5" w14:paraId="727E032E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5343321F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53E6B46A" w14:textId="77777777" w:rsidR="00C353F5" w:rsidRPr="00C353F5" w:rsidRDefault="00C353F5" w:rsidP="00C353F5">
            <w:pPr>
              <w:spacing w:before="139"/>
              <w:ind w:left="115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Reclutamiento y selección del personal.</w:t>
            </w:r>
          </w:p>
        </w:tc>
        <w:tc>
          <w:tcPr>
            <w:tcW w:w="1417" w:type="dxa"/>
            <w:shd w:val="clear" w:color="auto" w:fill="111AD3"/>
          </w:tcPr>
          <w:p w14:paraId="54A4289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38B5F9C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383C27B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76CCDBA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2C1310F3" w14:textId="77777777" w:rsidR="00C353F5" w:rsidRPr="00C353F5" w:rsidRDefault="00C353F5" w:rsidP="00C353F5">
            <w:pPr>
              <w:spacing w:before="139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Recursos Humanos</w:t>
            </w:r>
          </w:p>
        </w:tc>
      </w:tr>
      <w:tr w:rsidR="00C353F5" w:rsidRPr="00C353F5" w14:paraId="6EB9DD21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674CF1CC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0DE50324" w14:textId="77777777" w:rsidR="00C353F5" w:rsidRPr="00C353F5" w:rsidRDefault="00C353F5" w:rsidP="00C353F5">
            <w:pPr>
              <w:spacing w:before="23" w:line="230" w:lineRule="atLeast"/>
              <w:ind w:left="115" w:right="258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Auditoría interna</w:t>
            </w:r>
          </w:p>
        </w:tc>
        <w:tc>
          <w:tcPr>
            <w:tcW w:w="1417" w:type="dxa"/>
            <w:shd w:val="clear" w:color="auto" w:fill="111AD3"/>
          </w:tcPr>
          <w:p w14:paraId="25B6425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5C1CABC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52F78BE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7DBFBC4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FA66D3F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Representante de Direcci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</w:tr>
      <w:tr w:rsidR="00C353F5" w:rsidRPr="00C353F5" w14:paraId="37D68DB6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6B65339F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247A45B0" w14:textId="77777777" w:rsidR="00C353F5" w:rsidRPr="00C353F5" w:rsidRDefault="00C353F5" w:rsidP="00C353F5">
            <w:pPr>
              <w:spacing w:before="23" w:line="230" w:lineRule="atLeast"/>
              <w:ind w:left="115" w:right="258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Encuesta de servicio.</w:t>
            </w:r>
          </w:p>
        </w:tc>
        <w:tc>
          <w:tcPr>
            <w:tcW w:w="1417" w:type="dxa"/>
            <w:shd w:val="clear" w:color="auto" w:fill="111AD3"/>
          </w:tcPr>
          <w:p w14:paraId="01D02C3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3CBAB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6D46AB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0F6DC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40F2A5FC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 de Estudios, Servicios Escolares, Recursos Financieros, Vinculaci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n, Centro de Informaci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n, Centro de C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mputo.</w:t>
            </w:r>
          </w:p>
        </w:tc>
      </w:tr>
      <w:tr w:rsidR="00C353F5" w:rsidRPr="00C353F5" w14:paraId="3CE324BA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3D075ECD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5ECCB696" w14:textId="77777777" w:rsidR="00C353F5" w:rsidRPr="00C353F5" w:rsidRDefault="00C353F5" w:rsidP="00C353F5">
            <w:pPr>
              <w:spacing w:before="23" w:line="230" w:lineRule="atLeast"/>
              <w:ind w:left="115" w:right="258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Atención de quejas y sugerencias.</w:t>
            </w:r>
          </w:p>
        </w:tc>
        <w:tc>
          <w:tcPr>
            <w:tcW w:w="1417" w:type="dxa"/>
            <w:shd w:val="clear" w:color="auto" w:fill="111AD3"/>
          </w:tcPr>
          <w:p w14:paraId="6E8589B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00D03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4020A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315E4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69FA2826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Representante de Direcci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n.</w:t>
            </w:r>
          </w:p>
        </w:tc>
      </w:tr>
      <w:tr w:rsidR="00C353F5" w:rsidRPr="00C353F5" w14:paraId="1BED4415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104D520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6171197E" w14:textId="77777777" w:rsidR="00C353F5" w:rsidRPr="00C353F5" w:rsidRDefault="00C353F5" w:rsidP="00C353F5">
            <w:pPr>
              <w:spacing w:before="23" w:line="230" w:lineRule="atLeast"/>
              <w:ind w:left="115" w:right="258"/>
              <w:rPr>
                <w:rFonts w:ascii="Arial Narrow" w:eastAsia="Arial" w:hAnsi="Arial Narrow" w:cs="Arial"/>
                <w:noProof w:val="0"/>
                <w:sz w:val="20"/>
                <w:highlight w:val="yellow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Adquisición de bienes o servicios y pago a proveedores.</w:t>
            </w:r>
          </w:p>
        </w:tc>
        <w:tc>
          <w:tcPr>
            <w:tcW w:w="1417" w:type="dxa"/>
            <w:shd w:val="clear" w:color="auto" w:fill="111AD3"/>
          </w:tcPr>
          <w:p w14:paraId="4AEBF42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59016B6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2682515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707676C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0BB78EC8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Recursos Materiales</w:t>
            </w:r>
          </w:p>
        </w:tc>
      </w:tr>
      <w:tr w:rsidR="00C353F5" w:rsidRPr="00C353F5" w14:paraId="0BB5A576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859A0A8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217554BB" w14:textId="77777777" w:rsidR="00C353F5" w:rsidRPr="00C353F5" w:rsidRDefault="00C353F5" w:rsidP="00C353F5">
            <w:pPr>
              <w:spacing w:before="142"/>
              <w:ind w:left="115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Formación docente y actualización profesional.</w:t>
            </w:r>
          </w:p>
        </w:tc>
        <w:tc>
          <w:tcPr>
            <w:tcW w:w="1417" w:type="dxa"/>
            <w:shd w:val="clear" w:color="auto" w:fill="111AD3"/>
          </w:tcPr>
          <w:p w14:paraId="2D403B9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143BB9E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52585BF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22CBF1C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05077F92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Desarrollo Académico</w:t>
            </w:r>
          </w:p>
        </w:tc>
      </w:tr>
      <w:tr w:rsidR="00C353F5" w:rsidRPr="00C353F5" w14:paraId="779A3929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529953CB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5F3067DD" w14:textId="77777777" w:rsidR="00C353F5" w:rsidRPr="00C353F5" w:rsidRDefault="00C353F5" w:rsidP="00C353F5">
            <w:pPr>
              <w:spacing w:before="23" w:line="230" w:lineRule="atLeast"/>
              <w:ind w:left="115" w:right="377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Formaci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n, capacitaci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 y toma de conciencia.</w:t>
            </w:r>
          </w:p>
        </w:tc>
        <w:tc>
          <w:tcPr>
            <w:tcW w:w="1417" w:type="dxa"/>
            <w:shd w:val="clear" w:color="auto" w:fill="111AD3"/>
          </w:tcPr>
          <w:p w14:paraId="5F0D704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219A7D8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3ECECDC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1EB84EE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1FB82CC5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Recursos Humanos</w:t>
            </w:r>
          </w:p>
        </w:tc>
      </w:tr>
      <w:tr w:rsidR="00C353F5" w:rsidRPr="00C353F5" w14:paraId="080ACA5D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28FD18D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2671193" w14:textId="77777777" w:rsidR="00C353F5" w:rsidRPr="00C353F5" w:rsidRDefault="00C353F5" w:rsidP="00C353F5">
            <w:pPr>
              <w:spacing w:before="23" w:line="230" w:lineRule="atLeast"/>
              <w:ind w:left="115" w:right="377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Determinar y gestionar el ambiente de trabajo.</w:t>
            </w:r>
          </w:p>
        </w:tc>
        <w:tc>
          <w:tcPr>
            <w:tcW w:w="1417" w:type="dxa"/>
            <w:shd w:val="clear" w:color="auto" w:fill="111AD3"/>
          </w:tcPr>
          <w:p w14:paraId="1719F7E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5A4898B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2E183E2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4966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77DA2D5A" w14:textId="77777777" w:rsidR="00C353F5" w:rsidRPr="00C353F5" w:rsidRDefault="00C353F5" w:rsidP="00C353F5">
            <w:pPr>
              <w:spacing w:before="142"/>
              <w:ind w:left="219" w:right="212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Recursos Humanos</w:t>
            </w:r>
          </w:p>
        </w:tc>
      </w:tr>
      <w:tr w:rsidR="00C353F5" w:rsidRPr="00C353F5" w14:paraId="02116A8A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2101FE38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6482792B" w14:textId="77777777" w:rsidR="00C353F5" w:rsidRPr="00C353F5" w:rsidRDefault="00C353F5" w:rsidP="00C353F5">
            <w:pPr>
              <w:spacing w:before="8" w:line="230" w:lineRule="atLeast"/>
              <w:ind w:left="120" w:right="447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Mantenimiento de infraestructura y equipo.</w:t>
            </w:r>
          </w:p>
        </w:tc>
        <w:tc>
          <w:tcPr>
            <w:tcW w:w="1417" w:type="dxa"/>
            <w:shd w:val="clear" w:color="auto" w:fill="111AD3"/>
          </w:tcPr>
          <w:p w14:paraId="7C6F43C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53873AD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05E97AD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691B369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5409410D" w14:textId="77777777" w:rsidR="00C353F5" w:rsidRPr="00C353F5" w:rsidRDefault="00C353F5" w:rsidP="00C353F5">
            <w:pPr>
              <w:spacing w:before="127"/>
              <w:ind w:left="116"/>
              <w:jc w:val="center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Recursos Materiales y Servicios, Mantenimiento y Equipos, Centro de C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mputo.</w:t>
            </w:r>
          </w:p>
        </w:tc>
      </w:tr>
      <w:tr w:rsidR="00C353F5" w:rsidRPr="00C353F5" w14:paraId="6D80A9E9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130E94D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7C731F84" w14:textId="77777777" w:rsidR="00C353F5" w:rsidRPr="00C353F5" w:rsidRDefault="00C353F5" w:rsidP="00C353F5">
            <w:pPr>
              <w:spacing w:before="142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Captación de ingresos propios</w:t>
            </w:r>
          </w:p>
        </w:tc>
        <w:tc>
          <w:tcPr>
            <w:tcW w:w="1417" w:type="dxa"/>
            <w:shd w:val="clear" w:color="auto" w:fill="111AD3"/>
          </w:tcPr>
          <w:p w14:paraId="678CF52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25A4B54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3ACC1B4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434001A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098C7C13" w14:textId="77777777" w:rsidR="00C353F5" w:rsidRPr="00C353F5" w:rsidRDefault="00C353F5" w:rsidP="00C353F5">
            <w:pPr>
              <w:spacing w:before="142"/>
              <w:ind w:left="244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Recursos Financieros</w:t>
            </w:r>
          </w:p>
        </w:tc>
      </w:tr>
      <w:tr w:rsidR="00C353F5" w:rsidRPr="00C353F5" w14:paraId="1285C108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C0334A5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22079874" w14:textId="77777777" w:rsidR="00C353F5" w:rsidRPr="00C353F5" w:rsidRDefault="00C353F5" w:rsidP="00C353F5">
            <w:pPr>
              <w:spacing w:before="31"/>
              <w:ind w:left="120" w:right="921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Comunicación, participación y consulta de los trabajadores.</w:t>
            </w:r>
          </w:p>
        </w:tc>
        <w:tc>
          <w:tcPr>
            <w:tcW w:w="1417" w:type="dxa"/>
            <w:shd w:val="clear" w:color="auto" w:fill="111AD3"/>
          </w:tcPr>
          <w:p w14:paraId="18704D0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2747791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7BFDD4C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53D9AE1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60F783BD" w14:textId="77777777" w:rsidR="00C353F5" w:rsidRPr="00C353F5" w:rsidRDefault="00C353F5" w:rsidP="00C353F5">
            <w:pPr>
              <w:spacing w:before="146"/>
              <w:ind w:left="134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Comunicación y Difusión</w:t>
            </w:r>
          </w:p>
        </w:tc>
      </w:tr>
      <w:tr w:rsidR="00C353F5" w:rsidRPr="00C353F5" w14:paraId="0CAD6E7E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304AFB71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79CE5FB" w14:textId="77777777" w:rsidR="00C353F5" w:rsidRPr="00C353F5" w:rsidRDefault="00C353F5" w:rsidP="00C353F5">
            <w:pPr>
              <w:spacing w:before="31"/>
              <w:ind w:left="120" w:right="921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Anteproyecto de inversión.</w:t>
            </w:r>
          </w:p>
        </w:tc>
        <w:tc>
          <w:tcPr>
            <w:tcW w:w="1417" w:type="dxa"/>
            <w:shd w:val="clear" w:color="auto" w:fill="111AD3"/>
          </w:tcPr>
          <w:p w14:paraId="692FB66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6675A70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4A95529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5D8E5AA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9386C72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Planeación Programación</w:t>
            </w:r>
            <w:r w:rsidRPr="00C353F5">
              <w:rPr>
                <w:rFonts w:ascii="Arial Narrow" w:eastAsia="Arial" w:hAnsi="Arial Narrow" w:cs="Arial"/>
                <w:noProof w:val="0"/>
                <w:spacing w:val="-4"/>
                <w:sz w:val="20"/>
                <w:lang w:eastAsia="en-US"/>
              </w:rPr>
              <w:t xml:space="preserve"> </w:t>
            </w:r>
            <w:r w:rsidRPr="00C353F5">
              <w:rPr>
                <w:rFonts w:ascii="Arial Narrow" w:eastAsia="Arial" w:hAnsi="Arial Narrow" w:cs="Arial"/>
                <w:noProof w:val="0"/>
                <w:spacing w:val="-13"/>
                <w:sz w:val="20"/>
                <w:lang w:eastAsia="en-US"/>
              </w:rPr>
              <w:t>y</w:t>
            </w:r>
          </w:p>
          <w:p w14:paraId="44A51899" w14:textId="77777777" w:rsidR="00C353F5" w:rsidRPr="00C353F5" w:rsidRDefault="00C353F5" w:rsidP="00C353F5">
            <w:pPr>
              <w:ind w:left="134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Presupuestación</w:t>
            </w:r>
          </w:p>
        </w:tc>
      </w:tr>
      <w:tr w:rsidR="00C353F5" w:rsidRPr="00C353F5" w14:paraId="4C2EC8FE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4748122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348AD962" w14:textId="77777777" w:rsidR="00C353F5" w:rsidRPr="00C353F5" w:rsidRDefault="00C353F5" w:rsidP="00C353F5">
            <w:pPr>
              <w:spacing w:before="31"/>
              <w:ind w:left="120" w:right="921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Adquisición de material bibliográfico.</w:t>
            </w:r>
          </w:p>
        </w:tc>
        <w:tc>
          <w:tcPr>
            <w:tcW w:w="1417" w:type="dxa"/>
            <w:shd w:val="clear" w:color="auto" w:fill="111AD3"/>
          </w:tcPr>
          <w:p w14:paraId="4DC24AF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C2885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EF5950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62E71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3482404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719A6C04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Centro de Información.</w:t>
            </w:r>
          </w:p>
        </w:tc>
      </w:tr>
      <w:tr w:rsidR="00C353F5" w:rsidRPr="00C353F5" w14:paraId="653D0ABD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39E195B6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E392E00" w14:textId="77777777" w:rsidR="00C353F5" w:rsidRPr="00C353F5" w:rsidRDefault="00C353F5" w:rsidP="00C353F5">
            <w:pPr>
              <w:spacing w:before="31"/>
              <w:ind w:left="120" w:right="921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Préstamo de recursos bibliográficos.</w:t>
            </w:r>
          </w:p>
        </w:tc>
        <w:tc>
          <w:tcPr>
            <w:tcW w:w="1417" w:type="dxa"/>
            <w:shd w:val="clear" w:color="auto" w:fill="111AD3"/>
          </w:tcPr>
          <w:p w14:paraId="12A6896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F1C7E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B8EA51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60115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286E4A4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  <w:p w14:paraId="7BFE48D5" w14:textId="77777777" w:rsidR="00C353F5" w:rsidRPr="00C353F5" w:rsidRDefault="00C353F5" w:rsidP="00C353F5">
            <w:pPr>
              <w:ind w:left="219" w:right="209"/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Centro de Información.</w:t>
            </w:r>
          </w:p>
        </w:tc>
      </w:tr>
      <w:tr w:rsidR="00C353F5" w:rsidRPr="00C353F5" w14:paraId="0C048DEA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1D1DC22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AF6FEA3" w14:textId="77777777" w:rsidR="00C353F5" w:rsidRPr="00C353F5" w:rsidRDefault="00C353F5" w:rsidP="00C353F5">
            <w:pPr>
              <w:spacing w:before="142"/>
              <w:ind w:left="120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No conformidad y acciones correctivas.</w:t>
            </w:r>
          </w:p>
        </w:tc>
        <w:tc>
          <w:tcPr>
            <w:tcW w:w="1417" w:type="dxa"/>
            <w:shd w:val="clear" w:color="auto" w:fill="111AD3"/>
          </w:tcPr>
          <w:p w14:paraId="1093777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045B490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3D0C825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23F1B27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0A58CEDC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Á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rea de Calidad</w:t>
            </w:r>
          </w:p>
        </w:tc>
      </w:tr>
      <w:tr w:rsidR="00C353F5" w:rsidRPr="00C353F5" w14:paraId="0890961C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25C50222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1EF87B4" w14:textId="77777777" w:rsidR="00C353F5" w:rsidRPr="00C353F5" w:rsidRDefault="00C353F5" w:rsidP="00C353F5">
            <w:pPr>
              <w:spacing w:before="142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 xml:space="preserve"> Control de las salidas educativas no conformes. </w:t>
            </w:r>
          </w:p>
        </w:tc>
        <w:tc>
          <w:tcPr>
            <w:tcW w:w="1417" w:type="dxa"/>
            <w:shd w:val="clear" w:color="auto" w:fill="111AD3"/>
          </w:tcPr>
          <w:p w14:paraId="2D35C475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BE7B9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84DC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EDE50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3A7729EF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Coordinador(a) de Calidad (CC)</w:t>
            </w:r>
          </w:p>
        </w:tc>
      </w:tr>
      <w:tr w:rsidR="00C353F5" w:rsidRPr="00C353F5" w14:paraId="04C8113C" w14:textId="77777777" w:rsidTr="00B3218B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2DDB734F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56E36DF2" w14:textId="77777777" w:rsidR="00C353F5" w:rsidRPr="00C353F5" w:rsidRDefault="00C353F5" w:rsidP="00C353F5">
            <w:pPr>
              <w:spacing w:before="142"/>
              <w:ind w:left="120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Creación, actualización y control de la información documentada.</w:t>
            </w:r>
          </w:p>
        </w:tc>
        <w:tc>
          <w:tcPr>
            <w:tcW w:w="1417" w:type="dxa"/>
            <w:shd w:val="clear" w:color="auto" w:fill="111AD3"/>
          </w:tcPr>
          <w:p w14:paraId="6DFDCB5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B050"/>
          </w:tcPr>
          <w:p w14:paraId="3C6F583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1698476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806000" w:themeFill="accent4" w:themeFillShade="80"/>
          </w:tcPr>
          <w:p w14:paraId="6AF89D0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5EABEDA1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Controlador(a) de Informaci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n Documentada.</w:t>
            </w:r>
          </w:p>
        </w:tc>
      </w:tr>
      <w:tr w:rsidR="00C353F5" w:rsidRPr="00C353F5" w14:paraId="7A38A9E9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0A49D2D0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4D2928E3" w14:textId="77777777" w:rsidR="00C353F5" w:rsidRPr="00C353F5" w:rsidRDefault="00C353F5" w:rsidP="00C353F5">
            <w:pPr>
              <w:spacing w:before="142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Evaluación docente.</w:t>
            </w:r>
          </w:p>
        </w:tc>
        <w:tc>
          <w:tcPr>
            <w:tcW w:w="1417" w:type="dxa"/>
            <w:shd w:val="clear" w:color="auto" w:fill="111AD3"/>
          </w:tcPr>
          <w:p w14:paraId="3F12769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5B53F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4B0386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770272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499C573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Desarrollo Acad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é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mico</w:t>
            </w:r>
          </w:p>
        </w:tc>
      </w:tr>
      <w:tr w:rsidR="00C353F5" w:rsidRPr="00C353F5" w14:paraId="1C56F77C" w14:textId="77777777" w:rsidTr="00D16015">
        <w:trPr>
          <w:trHeight w:val="508"/>
        </w:trPr>
        <w:tc>
          <w:tcPr>
            <w:tcW w:w="1843" w:type="dxa"/>
            <w:vMerge w:val="restart"/>
            <w:shd w:val="clear" w:color="auto" w:fill="17365D"/>
            <w:vAlign w:val="center"/>
          </w:tcPr>
          <w:p w14:paraId="6ADB4761" w14:textId="77777777" w:rsidR="00C353F5" w:rsidRPr="00C353F5" w:rsidRDefault="00C353F5" w:rsidP="00C353F5">
            <w:pPr>
              <w:jc w:val="center"/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OPERACIÓN</w:t>
            </w:r>
          </w:p>
        </w:tc>
        <w:tc>
          <w:tcPr>
            <w:tcW w:w="3828" w:type="dxa"/>
          </w:tcPr>
          <w:p w14:paraId="794E3844" w14:textId="77777777" w:rsidR="00C353F5" w:rsidRPr="00C353F5" w:rsidRDefault="00C353F5" w:rsidP="00C353F5">
            <w:pPr>
              <w:spacing w:before="132"/>
              <w:ind w:left="120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Pre inscripci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  <w:tc>
          <w:tcPr>
            <w:tcW w:w="1417" w:type="dxa"/>
            <w:shd w:val="clear" w:color="auto" w:fill="111AD3"/>
          </w:tcPr>
          <w:p w14:paraId="48D1756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929FA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03A75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371D4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7A6C005D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Desarrollo Acad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é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mico</w:t>
            </w:r>
          </w:p>
        </w:tc>
      </w:tr>
      <w:tr w:rsidR="00C353F5" w:rsidRPr="00C353F5" w14:paraId="7C839B3D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  <w:vAlign w:val="center"/>
          </w:tcPr>
          <w:p w14:paraId="4F6101B9" w14:textId="77777777" w:rsidR="00C353F5" w:rsidRPr="00C353F5" w:rsidRDefault="00C353F5" w:rsidP="00C353F5">
            <w:pPr>
              <w:jc w:val="center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</w:p>
        </w:tc>
        <w:tc>
          <w:tcPr>
            <w:tcW w:w="3828" w:type="dxa"/>
          </w:tcPr>
          <w:p w14:paraId="578C0074" w14:textId="77777777" w:rsidR="00C353F5" w:rsidRPr="00C353F5" w:rsidRDefault="00C353F5" w:rsidP="00C353F5">
            <w:pPr>
              <w:spacing w:before="132"/>
              <w:ind w:left="120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Inscripci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  <w:tc>
          <w:tcPr>
            <w:tcW w:w="1417" w:type="dxa"/>
            <w:shd w:val="clear" w:color="auto" w:fill="111AD3"/>
          </w:tcPr>
          <w:p w14:paraId="30FA51B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1D785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B9EE83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405A4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1D53CA0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Servicios Escolares.</w:t>
            </w:r>
          </w:p>
        </w:tc>
      </w:tr>
      <w:tr w:rsidR="00C353F5" w:rsidRPr="00C353F5" w14:paraId="4DE4D99A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5FE7808C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F3B71C5" w14:textId="77777777" w:rsidR="00C353F5" w:rsidRPr="00C353F5" w:rsidRDefault="00C353F5" w:rsidP="00C353F5">
            <w:pPr>
              <w:spacing w:before="142"/>
              <w:ind w:left="120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Reinscripci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  <w:tc>
          <w:tcPr>
            <w:tcW w:w="1417" w:type="dxa"/>
            <w:shd w:val="clear" w:color="auto" w:fill="111AD3"/>
          </w:tcPr>
          <w:p w14:paraId="3688768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37B1F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B449C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7EE50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09243A7F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de Estudios Profesionales.</w:t>
            </w:r>
          </w:p>
        </w:tc>
      </w:tr>
      <w:tr w:rsidR="00C353F5" w:rsidRPr="00C353F5" w14:paraId="65E096D2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5F7CBD03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F6C14A6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Titulación Integral.</w:t>
            </w:r>
          </w:p>
        </w:tc>
        <w:tc>
          <w:tcPr>
            <w:tcW w:w="1417" w:type="dxa"/>
            <w:shd w:val="clear" w:color="auto" w:fill="111AD3"/>
          </w:tcPr>
          <w:p w14:paraId="0061081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80F1E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CD6C62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C3D3A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89C7927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de Estudios Profesionales.</w:t>
            </w:r>
          </w:p>
        </w:tc>
      </w:tr>
      <w:tr w:rsidR="00C353F5" w:rsidRPr="00C353F5" w14:paraId="14F3DB43" w14:textId="77777777" w:rsidTr="00D16015">
        <w:trPr>
          <w:trHeight w:val="719"/>
        </w:trPr>
        <w:tc>
          <w:tcPr>
            <w:tcW w:w="1843" w:type="dxa"/>
            <w:vMerge/>
            <w:shd w:val="clear" w:color="auto" w:fill="17365D"/>
          </w:tcPr>
          <w:p w14:paraId="7406E554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798CF10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Tutorías institucionales.</w:t>
            </w:r>
          </w:p>
        </w:tc>
        <w:tc>
          <w:tcPr>
            <w:tcW w:w="1417" w:type="dxa"/>
            <w:shd w:val="clear" w:color="auto" w:fill="111AD3"/>
          </w:tcPr>
          <w:p w14:paraId="4C4C62E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7B9D8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655FFF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49264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0D4E6E8D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Desarrollo Acad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é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 xml:space="preserve">mico </w:t>
            </w:r>
          </w:p>
        </w:tc>
      </w:tr>
      <w:tr w:rsidR="00C353F5" w:rsidRPr="00C353F5" w14:paraId="7F43C4A1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6A2F4A1E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333B4441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Promoción cultural y deportiva.</w:t>
            </w:r>
          </w:p>
        </w:tc>
        <w:tc>
          <w:tcPr>
            <w:tcW w:w="1417" w:type="dxa"/>
            <w:shd w:val="clear" w:color="auto" w:fill="111AD3"/>
          </w:tcPr>
          <w:p w14:paraId="03B645E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2A4BC6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4DBD30C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03C25D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1E856A17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Actividades Extraescolares</w:t>
            </w:r>
          </w:p>
        </w:tc>
      </w:tr>
      <w:tr w:rsidR="00C353F5" w:rsidRPr="00C353F5" w14:paraId="4142D2BF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65DB58B3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2AE6A52B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Realización de servicio social plan 2015-2016</w:t>
            </w:r>
          </w:p>
        </w:tc>
        <w:tc>
          <w:tcPr>
            <w:tcW w:w="1417" w:type="dxa"/>
            <w:shd w:val="clear" w:color="auto" w:fill="111AD3"/>
          </w:tcPr>
          <w:p w14:paraId="6D5B29C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5F8CB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5A724D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3C774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72B9140B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Gesti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Tecnol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gica y Vinculaci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</w:tr>
      <w:tr w:rsidR="00C353F5" w:rsidRPr="00C353F5" w14:paraId="540079A0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3B9BC0D4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61415DE1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val="es-MX" w:eastAsia="en-US"/>
              </w:rPr>
              <w:t>Prácticas de laboratorio y talleres</w:t>
            </w:r>
          </w:p>
        </w:tc>
        <w:tc>
          <w:tcPr>
            <w:tcW w:w="1417" w:type="dxa"/>
            <w:shd w:val="clear" w:color="auto" w:fill="111AD3"/>
          </w:tcPr>
          <w:p w14:paraId="23BB6AEA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00CC5C"/>
          </w:tcPr>
          <w:p w14:paraId="6801553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7" w:type="dxa"/>
            <w:shd w:val="clear" w:color="auto" w:fill="FF0000"/>
          </w:tcPr>
          <w:p w14:paraId="16301B3F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91ECB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val="es-MX" w:eastAsia="en-US"/>
              </w:rPr>
            </w:pPr>
          </w:p>
        </w:tc>
        <w:tc>
          <w:tcPr>
            <w:tcW w:w="2835" w:type="dxa"/>
          </w:tcPr>
          <w:p w14:paraId="4F3233F7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val="es-MX"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Á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reas Acad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é</w:t>
            </w:r>
            <w:r w:rsidRPr="00C353F5">
              <w:rPr>
                <w:rFonts w:ascii="Arial Narrow" w:eastAsia="Arial" w:cs="Arial"/>
                <w:noProof w:val="0"/>
                <w:sz w:val="20"/>
                <w:lang w:val="es-MX" w:eastAsia="en-US"/>
              </w:rPr>
              <w:t>micas, Mantenimiento y Equipos, Laboratorios y Talleres.</w:t>
            </w:r>
          </w:p>
        </w:tc>
      </w:tr>
      <w:tr w:rsidR="00C353F5" w:rsidRPr="00C353F5" w14:paraId="6E639FAE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3146C25F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val="es-MX" w:eastAsia="en-US"/>
              </w:rPr>
            </w:pPr>
          </w:p>
        </w:tc>
        <w:tc>
          <w:tcPr>
            <w:tcW w:w="3828" w:type="dxa"/>
          </w:tcPr>
          <w:p w14:paraId="029B88C9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Convalidación de estudios</w:t>
            </w:r>
          </w:p>
        </w:tc>
        <w:tc>
          <w:tcPr>
            <w:tcW w:w="1417" w:type="dxa"/>
            <w:shd w:val="clear" w:color="auto" w:fill="111AD3"/>
          </w:tcPr>
          <w:p w14:paraId="23DB4B6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E98E9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10FCFE1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A6DE33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2AA74736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de Estudios Profesionales</w:t>
            </w:r>
          </w:p>
        </w:tc>
      </w:tr>
      <w:tr w:rsidR="00C353F5" w:rsidRPr="00C353F5" w14:paraId="64AB12DB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7EF1D7D5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1EF20FE0" w14:textId="77777777" w:rsidR="00C353F5" w:rsidRPr="00C353F5" w:rsidRDefault="00C353F5" w:rsidP="00C353F5">
            <w:pPr>
              <w:spacing w:before="129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Equivalencia de estudios.</w:t>
            </w:r>
          </w:p>
        </w:tc>
        <w:tc>
          <w:tcPr>
            <w:tcW w:w="1417" w:type="dxa"/>
            <w:shd w:val="clear" w:color="auto" w:fill="111AD3"/>
          </w:tcPr>
          <w:p w14:paraId="4757C3D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D00E32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618078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E6434E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26B0B8B7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de Estudios Profesionales</w:t>
            </w:r>
          </w:p>
        </w:tc>
      </w:tr>
      <w:tr w:rsidR="00C353F5" w:rsidRPr="00C353F5" w14:paraId="083AAEEE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11FF3540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06AA9BFD" w14:textId="77777777" w:rsidR="00C353F5" w:rsidRPr="00C353F5" w:rsidRDefault="00C353F5" w:rsidP="00C353F5">
            <w:pPr>
              <w:spacing w:before="93"/>
              <w:ind w:left="120"/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hAnsi="Arial Narrow" w:cs="Arial"/>
                <w:noProof w:val="0"/>
                <w:sz w:val="20"/>
                <w:lang w:eastAsia="en-US"/>
              </w:rPr>
              <w:t>Gestión del curso</w:t>
            </w:r>
          </w:p>
        </w:tc>
        <w:tc>
          <w:tcPr>
            <w:tcW w:w="1417" w:type="dxa"/>
            <w:shd w:val="clear" w:color="auto" w:fill="111AD3"/>
          </w:tcPr>
          <w:p w14:paraId="5A2EF42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5A563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2A9423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5EC6A0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8F69EE5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Departamentos Acad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é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micos.</w:t>
            </w:r>
          </w:p>
        </w:tc>
      </w:tr>
      <w:tr w:rsidR="00C353F5" w:rsidRPr="00C353F5" w14:paraId="61D0E3CA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4E559DFA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59A5E88" w14:textId="77777777" w:rsidR="00C353F5" w:rsidRPr="00C353F5" w:rsidRDefault="00C353F5" w:rsidP="00C353F5">
            <w:pPr>
              <w:spacing w:before="109"/>
              <w:ind w:left="120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Residencias profesionales.</w:t>
            </w:r>
          </w:p>
        </w:tc>
        <w:tc>
          <w:tcPr>
            <w:tcW w:w="1417" w:type="dxa"/>
            <w:shd w:val="clear" w:color="auto" w:fill="111AD3"/>
          </w:tcPr>
          <w:p w14:paraId="4E2951A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2E9A76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E86114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E12FA8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2EE0F61" w14:textId="77777777" w:rsidR="00C353F5" w:rsidRPr="00C353F5" w:rsidRDefault="00C353F5" w:rsidP="00C353F5">
            <w:pPr>
              <w:spacing w:before="142"/>
              <w:ind w:left="175"/>
              <w:jc w:val="center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Divisi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de Estudios Profesionales</w:t>
            </w:r>
          </w:p>
        </w:tc>
      </w:tr>
      <w:tr w:rsidR="00C353F5" w:rsidRPr="00C353F5" w14:paraId="58A4F5E5" w14:textId="77777777" w:rsidTr="00D16015">
        <w:trPr>
          <w:trHeight w:val="508"/>
        </w:trPr>
        <w:tc>
          <w:tcPr>
            <w:tcW w:w="1843" w:type="dxa"/>
            <w:vMerge/>
            <w:shd w:val="clear" w:color="auto" w:fill="17365D"/>
          </w:tcPr>
          <w:p w14:paraId="25BF9746" w14:textId="77777777" w:rsidR="00C353F5" w:rsidRPr="00C353F5" w:rsidRDefault="00C353F5" w:rsidP="00C353F5">
            <w:pPr>
              <w:rPr>
                <w:rFonts w:eastAsia="Arial" w:cs="Arial"/>
                <w:noProof w:val="0"/>
                <w:sz w:val="2"/>
                <w:szCs w:val="2"/>
                <w:lang w:eastAsia="en-US"/>
              </w:rPr>
            </w:pPr>
          </w:p>
        </w:tc>
        <w:tc>
          <w:tcPr>
            <w:tcW w:w="3828" w:type="dxa"/>
          </w:tcPr>
          <w:p w14:paraId="421B1892" w14:textId="77777777" w:rsidR="00C353F5" w:rsidRPr="00C353F5" w:rsidRDefault="00C353F5" w:rsidP="00C353F5">
            <w:pPr>
              <w:spacing w:before="140"/>
              <w:ind w:left="120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Visita a empresas.</w:t>
            </w:r>
          </w:p>
        </w:tc>
        <w:tc>
          <w:tcPr>
            <w:tcW w:w="1417" w:type="dxa"/>
            <w:shd w:val="clear" w:color="auto" w:fill="111AD3"/>
          </w:tcPr>
          <w:p w14:paraId="248A5F19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B6F158D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9AA967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618C8B" w14:textId="77777777" w:rsidR="00C353F5" w:rsidRPr="00C353F5" w:rsidRDefault="00C353F5" w:rsidP="00C353F5">
            <w:pPr>
              <w:rPr>
                <w:rFonts w:ascii="Times New Roman" w:eastAsia="Arial" w:cs="Arial"/>
                <w:noProof w:val="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85965D9" w14:textId="77777777" w:rsidR="00C353F5" w:rsidRPr="00C353F5" w:rsidRDefault="00C353F5" w:rsidP="00C353F5">
            <w:pPr>
              <w:spacing w:before="142"/>
              <w:ind w:left="175"/>
              <w:rPr>
                <w:rFonts w:ascii="Arial Narrow" w:eastAsia="Arial" w:cs="Arial"/>
                <w:noProof w:val="0"/>
                <w:sz w:val="20"/>
                <w:lang w:eastAsia="en-US"/>
              </w:rPr>
            </w:pP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Gesti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 Tecnol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gica y Vinculaci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ó</w:t>
            </w:r>
            <w:r w:rsidRPr="00C353F5">
              <w:rPr>
                <w:rFonts w:ascii="Arial Narrow" w:eastAsia="Arial" w:cs="Arial"/>
                <w:noProof w:val="0"/>
                <w:sz w:val="20"/>
                <w:lang w:eastAsia="en-US"/>
              </w:rPr>
              <w:t>n</w:t>
            </w:r>
          </w:p>
        </w:tc>
      </w:tr>
    </w:tbl>
    <w:p w14:paraId="4B7A37A5" w14:textId="77777777" w:rsidR="00C353F5" w:rsidRPr="00C353F5" w:rsidRDefault="00C353F5" w:rsidP="00C353F5"/>
    <w:p w14:paraId="422C3F92" w14:textId="77777777" w:rsidR="005B530F" w:rsidRDefault="005B530F">
      <w:pPr>
        <w:rPr>
          <w:sz w:val="28"/>
          <w:szCs w:val="28"/>
        </w:rPr>
      </w:pPr>
    </w:p>
    <w:p w14:paraId="368F9988" w14:textId="77777777" w:rsidR="005B530F" w:rsidRDefault="005B530F"/>
    <w:p w14:paraId="3E01D9E9" w14:textId="77777777" w:rsidR="005B530F" w:rsidRDefault="005B530F"/>
    <w:p w14:paraId="6811A1E0" w14:textId="77777777" w:rsidR="005B530F" w:rsidRDefault="005B530F"/>
    <w:sectPr w:rsidR="005B530F" w:rsidSect="00C353F5"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D645" w14:textId="77777777" w:rsidR="001B2B76" w:rsidRDefault="001B2B76">
      <w:r>
        <w:separator/>
      </w:r>
    </w:p>
  </w:endnote>
  <w:endnote w:type="continuationSeparator" w:id="0">
    <w:p w14:paraId="6241748F" w14:textId="77777777" w:rsidR="001B2B76" w:rsidRDefault="001B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41A0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7B21" w14:textId="77777777" w:rsidR="005B530F" w:rsidRDefault="005B53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eastAsia="Arial" w:cs="Arial"/>
        <w:color w:val="000000"/>
      </w:rPr>
    </w:pPr>
  </w:p>
  <w:tbl>
    <w:tblPr>
      <w:tblStyle w:val="a0"/>
      <w:tblW w:w="9353" w:type="dxa"/>
      <w:jc w:val="center"/>
      <w:tblLayout w:type="fixed"/>
      <w:tblLook w:val="0400" w:firstRow="0" w:lastRow="0" w:firstColumn="0" w:lastColumn="0" w:noHBand="0" w:noVBand="1"/>
    </w:tblPr>
    <w:tblGrid>
      <w:gridCol w:w="2574"/>
      <w:gridCol w:w="1492"/>
      <w:gridCol w:w="2552"/>
      <w:gridCol w:w="1843"/>
      <w:gridCol w:w="892"/>
    </w:tblGrid>
    <w:tr w:rsidR="005B530F" w14:paraId="22170E00" w14:textId="77777777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3A3A7522" w14:textId="5087A394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VER </w:t>
          </w:r>
          <w:r w:rsidR="005C0D55"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2</w:t>
          </w: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 </w:t>
          </w:r>
        </w:p>
        <w:p w14:paraId="6FAC7283" w14:textId="77777777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                      </w:t>
          </w:r>
        </w:p>
      </w:tc>
      <w:tc>
        <w:tcPr>
          <w:tcW w:w="1492" w:type="dxa"/>
          <w:shd w:val="clear" w:color="auto" w:fill="auto"/>
          <w:vAlign w:val="center"/>
        </w:tcPr>
        <w:p w14:paraId="45B211A3" w14:textId="77777777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       ELABORÓ</w:t>
          </w:r>
        </w:p>
        <w:p w14:paraId="5B5B7267" w14:textId="3A3E14D4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I.G.U.R. / </w:t>
          </w:r>
          <w:r w:rsidR="002A7589" w:rsidRPr="002A7589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09-05-2023</w:t>
          </w:r>
        </w:p>
      </w:tc>
      <w:tc>
        <w:tcPr>
          <w:tcW w:w="2552" w:type="dxa"/>
          <w:shd w:val="clear" w:color="auto" w:fill="auto"/>
          <w:vAlign w:val="center"/>
        </w:tcPr>
        <w:p w14:paraId="5E40D19A" w14:textId="77777777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REVISÓ</w:t>
          </w:r>
        </w:p>
        <w:p w14:paraId="77B5E845" w14:textId="0862312E" w:rsidR="005B530F" w:rsidRPr="00372A9F" w:rsidRDefault="002A758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E.A.A.A</w:t>
          </w:r>
          <w:r w:rsidR="00A77362"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/</w:t>
          </w:r>
          <w:r>
            <w:rPr>
              <w:rFonts w:ascii="Arial Narrow" w:hAnsi="Arial Narrow" w:cs="Arial"/>
              <w:sz w:val="12"/>
              <w:szCs w:val="12"/>
            </w:rPr>
            <w:t xml:space="preserve"> 10</w:t>
          </w:r>
          <w:r>
            <w:rPr>
              <w:rFonts w:ascii="Arial Narrow" w:hAnsi="Arial Narrow" w:cs="Arial"/>
              <w:sz w:val="12"/>
              <w:szCs w:val="12"/>
            </w:rPr>
            <w:t>-05-2023</w:t>
          </w:r>
        </w:p>
      </w:tc>
      <w:tc>
        <w:tcPr>
          <w:tcW w:w="1843" w:type="dxa"/>
          <w:shd w:val="clear" w:color="auto" w:fill="auto"/>
          <w:vAlign w:val="center"/>
        </w:tcPr>
        <w:p w14:paraId="189C8B6A" w14:textId="77777777" w:rsidR="005B530F" w:rsidRPr="00372A9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AUTORIZÓ</w:t>
          </w:r>
        </w:p>
        <w:p w14:paraId="489D2E29" w14:textId="3A178510" w:rsidR="005B530F" w:rsidRPr="00372A9F" w:rsidRDefault="00C230A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12"/>
              <w:szCs w:val="12"/>
              <w:lang w:val="es-MX"/>
            </w:rPr>
          </w:pPr>
          <w:r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>F.P.Z</w:t>
          </w:r>
          <w:r w:rsidR="00A77362" w:rsidRPr="00372A9F">
            <w:rPr>
              <w:rFonts w:ascii="Arial Narrow" w:eastAsia="Arial Narrow" w:hAnsi="Arial Narrow" w:cs="Arial Narrow"/>
              <w:sz w:val="12"/>
              <w:szCs w:val="12"/>
              <w:lang w:val="es-MX"/>
            </w:rPr>
            <w:t xml:space="preserve">./ </w:t>
          </w:r>
          <w:r w:rsidR="002A7589">
            <w:rPr>
              <w:rFonts w:ascii="Arial Narrow" w:hAnsi="Arial Narrow" w:cs="Arial"/>
              <w:sz w:val="12"/>
              <w:szCs w:val="12"/>
            </w:rPr>
            <w:t>11</w:t>
          </w:r>
          <w:r w:rsidR="002A7589">
            <w:rPr>
              <w:rFonts w:ascii="Arial Narrow" w:hAnsi="Arial Narrow" w:cs="Arial"/>
              <w:sz w:val="12"/>
              <w:szCs w:val="12"/>
            </w:rPr>
            <w:t>-05-2023</w:t>
          </w:r>
        </w:p>
      </w:tc>
      <w:tc>
        <w:tcPr>
          <w:tcW w:w="892" w:type="dxa"/>
          <w:shd w:val="clear" w:color="auto" w:fill="auto"/>
          <w:vAlign w:val="center"/>
        </w:tcPr>
        <w:p w14:paraId="5100ADC4" w14:textId="77777777" w:rsidR="005B530F" w:rsidRDefault="00A773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AF405E"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AF405E"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</w:p>
      </w:tc>
    </w:tr>
    <w:tr w:rsidR="00C230AA" w14:paraId="3F61E56D" w14:textId="77777777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DCD57CE" w14:textId="77777777" w:rsidR="00C230AA" w:rsidRPr="00AF405E" w:rsidRDefault="00C2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</w:p>
      </w:tc>
      <w:tc>
        <w:tcPr>
          <w:tcW w:w="1492" w:type="dxa"/>
          <w:shd w:val="clear" w:color="auto" w:fill="auto"/>
          <w:vAlign w:val="center"/>
        </w:tcPr>
        <w:p w14:paraId="29AE6369" w14:textId="77777777" w:rsidR="00C230AA" w:rsidRPr="00AF405E" w:rsidRDefault="00C2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22288A5D" w14:textId="77777777" w:rsidR="00C230AA" w:rsidRPr="00AF405E" w:rsidRDefault="00C2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0850D5C0" w14:textId="77777777" w:rsidR="00C230AA" w:rsidRPr="00AF405E" w:rsidRDefault="00C2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</w:p>
      </w:tc>
      <w:tc>
        <w:tcPr>
          <w:tcW w:w="892" w:type="dxa"/>
          <w:shd w:val="clear" w:color="auto" w:fill="auto"/>
          <w:vAlign w:val="center"/>
        </w:tcPr>
        <w:p w14:paraId="2024D090" w14:textId="77777777" w:rsidR="00C230AA" w:rsidRDefault="00C230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</w:p>
      </w:tc>
    </w:tr>
  </w:tbl>
  <w:p w14:paraId="6980C8A6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A03E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5FA8" w14:textId="77777777" w:rsidR="001B2B76" w:rsidRDefault="001B2B76">
      <w:r>
        <w:separator/>
      </w:r>
    </w:p>
  </w:footnote>
  <w:footnote w:type="continuationSeparator" w:id="0">
    <w:p w14:paraId="568AF04D" w14:textId="77777777" w:rsidR="001B2B76" w:rsidRDefault="001B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5B77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09E1" w14:textId="77777777" w:rsidR="005B530F" w:rsidRDefault="005B53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270"/>
      <w:gridCol w:w="3544"/>
      <w:gridCol w:w="2693"/>
      <w:gridCol w:w="1970"/>
    </w:tblGrid>
    <w:tr w:rsidR="005B530F" w14:paraId="104447E8" w14:textId="77777777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3659F06E" w14:textId="77777777" w:rsidR="005B530F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</w:rPr>
            <w:drawing>
              <wp:inline distT="0" distB="0" distL="0" distR="0" wp14:anchorId="4D00EC69" wp14:editId="377A4A1E">
                <wp:extent cx="1008000" cy="10080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336970D2" w14:textId="77777777" w:rsidR="005B530F" w:rsidRPr="00AF405E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Documento: Alcance del Sistema Integrado</w:t>
          </w:r>
        </w:p>
        <w:p w14:paraId="6F19FF5A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 xml:space="preserve">                      de Gestión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3662272" w14:textId="77777777" w:rsidR="005B530F" w:rsidRPr="00AF405E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Responsable: RD, y Alta dirección</w:t>
          </w:r>
        </w:p>
      </w:tc>
    </w:tr>
    <w:tr w:rsidR="005B530F" w14:paraId="465CCDDD" w14:textId="77777777">
      <w:trPr>
        <w:trHeight w:val="199"/>
        <w:jc w:val="center"/>
      </w:trPr>
      <w:tc>
        <w:tcPr>
          <w:tcW w:w="2270" w:type="dxa"/>
          <w:vMerge/>
          <w:shd w:val="clear" w:color="auto" w:fill="auto"/>
          <w:vAlign w:val="center"/>
        </w:tcPr>
        <w:p w14:paraId="2687569D" w14:textId="77777777" w:rsidR="005B530F" w:rsidRPr="00AF405E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  <w:lang w:val="es-MX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31129BE1" w14:textId="77777777" w:rsidR="005B530F" w:rsidRPr="00AF405E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  <w:lang w:val="es-MX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1F2CE39" w14:textId="77777777" w:rsidR="005B530F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Código: SIG-IN-D-00-05</w:t>
          </w:r>
        </w:p>
      </w:tc>
      <w:tc>
        <w:tcPr>
          <w:tcW w:w="1970" w:type="dxa"/>
          <w:shd w:val="clear" w:color="auto" w:fill="auto"/>
          <w:vAlign w:val="center"/>
        </w:tcPr>
        <w:p w14:paraId="4ADE1F1F" w14:textId="77777777" w:rsidR="005B530F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Página: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PAGE</w:instrText>
          </w:r>
          <w:r>
            <w:rPr>
              <w:b/>
              <w:sz w:val="20"/>
              <w:szCs w:val="20"/>
            </w:rPr>
            <w:fldChar w:fldCharType="separate"/>
          </w:r>
          <w:r w:rsidR="00AF405E">
            <w:rPr>
              <w:b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>
            <w:rPr>
              <w:b/>
              <w:sz w:val="20"/>
              <w:szCs w:val="20"/>
            </w:rPr>
            <w:fldChar w:fldCharType="separate"/>
          </w:r>
          <w:r w:rsidR="00AF405E">
            <w:rPr>
              <w:b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  <w:tr w:rsidR="005B530F" w14:paraId="35111099" w14:textId="77777777">
      <w:trPr>
        <w:trHeight w:val="199"/>
        <w:jc w:val="center"/>
      </w:trPr>
      <w:tc>
        <w:tcPr>
          <w:tcW w:w="2270" w:type="dxa"/>
          <w:vMerge/>
          <w:shd w:val="clear" w:color="auto" w:fill="auto"/>
          <w:vAlign w:val="center"/>
        </w:tcPr>
        <w:p w14:paraId="71527CCF" w14:textId="77777777" w:rsidR="005B530F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048B1620" w14:textId="77777777" w:rsidR="005B530F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6DC8617" w14:textId="33CBD87F" w:rsidR="005B530F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Revisión: </w:t>
          </w:r>
          <w:r w:rsidR="00C230AA" w:rsidRPr="003E7F6E">
            <w:rPr>
              <w:b/>
              <w:sz w:val="20"/>
              <w:szCs w:val="20"/>
            </w:rPr>
            <w:t>5</w:t>
          </w:r>
        </w:p>
      </w:tc>
    </w:tr>
    <w:tr w:rsidR="005B530F" w14:paraId="5DBA4424" w14:textId="77777777">
      <w:trPr>
        <w:trHeight w:val="70"/>
        <w:jc w:val="center"/>
      </w:trPr>
      <w:tc>
        <w:tcPr>
          <w:tcW w:w="2270" w:type="dxa"/>
          <w:vMerge/>
          <w:shd w:val="clear" w:color="auto" w:fill="auto"/>
          <w:vAlign w:val="center"/>
        </w:tcPr>
        <w:p w14:paraId="6AB69B2A" w14:textId="77777777" w:rsidR="005B530F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7A6B9570" w14:textId="77777777" w:rsidR="005B530F" w:rsidRDefault="005B53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C50DB35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 xml:space="preserve">Referencia: </w:t>
          </w:r>
        </w:p>
        <w:p w14:paraId="14F63AED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ISO 21001:2018:  4.3</w:t>
          </w:r>
        </w:p>
        <w:p w14:paraId="453F5231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ISO 14001:2015:4.3</w:t>
          </w:r>
        </w:p>
        <w:p w14:paraId="2940EF34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ISO 50001:2018:4.3</w:t>
          </w:r>
        </w:p>
        <w:p w14:paraId="3B2569B8" w14:textId="77777777" w:rsidR="005B530F" w:rsidRPr="00AF405E" w:rsidRDefault="00A77362">
          <w:pPr>
            <w:tabs>
              <w:tab w:val="center" w:pos="4419"/>
              <w:tab w:val="right" w:pos="8838"/>
            </w:tabs>
            <w:rPr>
              <w:sz w:val="20"/>
              <w:szCs w:val="20"/>
              <w:lang w:val="es-MX"/>
            </w:rPr>
          </w:pPr>
          <w:r w:rsidRPr="00AF405E">
            <w:rPr>
              <w:b/>
              <w:sz w:val="20"/>
              <w:szCs w:val="20"/>
              <w:lang w:val="es-MX"/>
            </w:rPr>
            <w:t>ISO 45001:2018:4.3</w:t>
          </w:r>
        </w:p>
      </w:tc>
      <w:tc>
        <w:tcPr>
          <w:tcW w:w="1970" w:type="dxa"/>
          <w:shd w:val="clear" w:color="auto" w:fill="auto"/>
          <w:vAlign w:val="center"/>
        </w:tcPr>
        <w:p w14:paraId="25558ACB" w14:textId="5C0D1D07" w:rsidR="005B530F" w:rsidRDefault="00A77362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Emisión: </w:t>
          </w:r>
          <w:r w:rsidR="004B64F9">
            <w:rPr>
              <w:sz w:val="20"/>
              <w:szCs w:val="20"/>
            </w:rPr>
            <w:t>Junio</w:t>
          </w:r>
          <w:r>
            <w:rPr>
              <w:sz w:val="20"/>
              <w:szCs w:val="20"/>
            </w:rPr>
            <w:t xml:space="preserve"> 2022</w:t>
          </w:r>
        </w:p>
      </w:tc>
    </w:tr>
  </w:tbl>
  <w:p w14:paraId="4DD51456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42DE" w14:textId="77777777" w:rsidR="005B530F" w:rsidRDefault="005B53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0F"/>
    <w:rsid w:val="001B2B76"/>
    <w:rsid w:val="0028296F"/>
    <w:rsid w:val="002A7589"/>
    <w:rsid w:val="003035F7"/>
    <w:rsid w:val="00332333"/>
    <w:rsid w:val="00366706"/>
    <w:rsid w:val="00372A9F"/>
    <w:rsid w:val="003E7F6E"/>
    <w:rsid w:val="004B64F9"/>
    <w:rsid w:val="0057218A"/>
    <w:rsid w:val="005B530F"/>
    <w:rsid w:val="005C0D55"/>
    <w:rsid w:val="007123C8"/>
    <w:rsid w:val="007A3046"/>
    <w:rsid w:val="007C1F43"/>
    <w:rsid w:val="00A77362"/>
    <w:rsid w:val="00AF405E"/>
    <w:rsid w:val="00B3218B"/>
    <w:rsid w:val="00C230AA"/>
    <w:rsid w:val="00C34469"/>
    <w:rsid w:val="00C353F5"/>
    <w:rsid w:val="00C63E6C"/>
    <w:rsid w:val="00CE028A"/>
    <w:rsid w:val="00D16015"/>
    <w:rsid w:val="00E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88938"/>
  <w15:docId w15:val="{D426FABA-8898-4985-A155-DEBDE68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82"/>
    <w:rPr>
      <w:rFonts w:eastAsia="Times New Roman" w:cs="Times New Roman"/>
      <w:noProof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F30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30AC"/>
    <w:rPr>
      <w:rFonts w:ascii="Arial" w:eastAsia="Times New Roman" w:hAnsi="Arial" w:cs="Times New Roman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F30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AC"/>
    <w:rPr>
      <w:rFonts w:ascii="Arial" w:eastAsia="Times New Roman" w:hAnsi="Arial" w:cs="Times New Roman"/>
      <w:noProof/>
      <w:sz w:val="24"/>
      <w:szCs w:val="24"/>
      <w:lang w:eastAsia="es-ES"/>
    </w:rPr>
  </w:style>
  <w:style w:type="table" w:customStyle="1" w:styleId="TableNormal0">
    <w:name w:val="Table Normal"/>
    <w:uiPriority w:val="2"/>
    <w:semiHidden/>
    <w:unhideWhenUsed/>
    <w:qFormat/>
    <w:rsid w:val="0051121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53F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7EPhTU62O1LO2Y8qmMbd6chHgg==">AMUW2mVIPnFIvM7zx5Ycx6Fvu5Eg/hCBGlgylVg1fJzmIwHXYeycSOIGpnOLJG0ZU3xaTxE10iCHmPvtEGKTWqI8eKw9SMjuW8y98MVpP+JyZ9Cx+I8GyuY=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urias</dc:creator>
  <cp:lastModifiedBy>KAREN PAULINA GARCIA JIMENEZ</cp:lastModifiedBy>
  <cp:revision>6</cp:revision>
  <dcterms:created xsi:type="dcterms:W3CDTF">2023-03-14T18:42:00Z</dcterms:created>
  <dcterms:modified xsi:type="dcterms:W3CDTF">2023-05-30T17:40:00Z</dcterms:modified>
</cp:coreProperties>
</file>