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E39A2" w14:textId="4CA8E4A7" w:rsidR="00143C09" w:rsidRDefault="00143C09" w:rsidP="00B40D34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 w:rsidRPr="0080018F">
        <w:rPr>
          <w:rFonts w:ascii="Arial" w:hAnsi="Arial" w:cs="Arial"/>
          <w:b/>
          <w:sz w:val="24"/>
          <w:szCs w:val="24"/>
          <w:lang w:val="es-ES"/>
        </w:rPr>
        <w:t>ANEXO 1 CRITERIOS DE ADQUISICIÓN DE BIENES</w:t>
      </w:r>
    </w:p>
    <w:p w14:paraId="0658AD3E" w14:textId="6229EE78" w:rsidR="0080018F" w:rsidRDefault="0080018F" w:rsidP="0080018F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7DAE6009" w14:textId="28B94991" w:rsidR="0080018F" w:rsidRPr="0080018F" w:rsidRDefault="0080018F" w:rsidP="0080018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80018F">
        <w:rPr>
          <w:rFonts w:ascii="Arial" w:hAnsi="Arial" w:cs="Arial"/>
          <w:b/>
          <w:sz w:val="20"/>
          <w:szCs w:val="20"/>
          <w:lang w:val="es-ES"/>
        </w:rPr>
        <w:t>AIRES ACONDICIONADOS</w:t>
      </w:r>
    </w:p>
    <w:p w14:paraId="76B16232" w14:textId="77777777" w:rsidR="00795882" w:rsidRPr="0080018F" w:rsidRDefault="00795882" w:rsidP="00795882">
      <w:pPr>
        <w:jc w:val="both"/>
        <w:rPr>
          <w:rFonts w:ascii="Arial" w:hAnsi="Arial" w:cs="Arial"/>
          <w:bCs/>
          <w:sz w:val="20"/>
          <w:szCs w:val="20"/>
          <w:lang w:val="es-ES"/>
        </w:rPr>
      </w:pPr>
      <w:bookmarkStart w:id="1" w:name="_Hlk74560898"/>
      <w:r w:rsidRPr="0080018F">
        <w:rPr>
          <w:rFonts w:ascii="Arial" w:hAnsi="Arial" w:cs="Arial"/>
          <w:bCs/>
          <w:sz w:val="20"/>
          <w:szCs w:val="20"/>
          <w:lang w:val="es-ES"/>
        </w:rPr>
        <w:t>Las nuevas adquisiciones de equipos de aire acondicionado deberán de cumplir con los niveles mínimos de relación de eficiencia energética estacional mostrada en las siguientes tablas:</w:t>
      </w:r>
    </w:p>
    <w:bookmarkEnd w:id="1"/>
    <w:p w14:paraId="12AAD716" w14:textId="006D5194" w:rsidR="001E0AF0" w:rsidRPr="0080018F" w:rsidRDefault="0080018F" w:rsidP="00B40D34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80018F">
        <w:rPr>
          <w:rFonts w:ascii="Arial" w:hAnsi="Arial" w:cs="Arial"/>
          <w:b/>
          <w:sz w:val="20"/>
          <w:szCs w:val="20"/>
          <w:lang w:val="es-ES"/>
        </w:rPr>
        <w:t xml:space="preserve">1.1 </w:t>
      </w:r>
      <w:r w:rsidR="001E0AF0" w:rsidRPr="0080018F">
        <w:rPr>
          <w:rFonts w:ascii="Arial" w:hAnsi="Arial" w:cs="Arial"/>
          <w:b/>
          <w:sz w:val="20"/>
          <w:szCs w:val="20"/>
          <w:lang w:val="es-ES"/>
        </w:rPr>
        <w:t xml:space="preserve">De acuerdo con la </w:t>
      </w:r>
      <w:r w:rsidR="00F717CE" w:rsidRPr="0080018F">
        <w:rPr>
          <w:rFonts w:ascii="Arial" w:hAnsi="Arial" w:cs="Arial"/>
          <w:b/>
          <w:sz w:val="20"/>
          <w:szCs w:val="20"/>
          <w:lang w:val="es-ES"/>
        </w:rPr>
        <w:t>NO</w:t>
      </w:r>
      <w:r w:rsidR="001E0AF0" w:rsidRPr="0080018F">
        <w:rPr>
          <w:rFonts w:ascii="Arial" w:hAnsi="Arial" w:cs="Arial"/>
          <w:b/>
          <w:sz w:val="20"/>
          <w:szCs w:val="20"/>
          <w:lang w:val="es-ES"/>
        </w:rPr>
        <w:t>M-</w:t>
      </w:r>
      <w:r w:rsidR="00F717CE" w:rsidRPr="0080018F">
        <w:rPr>
          <w:rFonts w:ascii="Arial" w:hAnsi="Arial" w:cs="Arial"/>
          <w:b/>
          <w:sz w:val="20"/>
          <w:szCs w:val="20"/>
          <w:lang w:val="es-ES"/>
        </w:rPr>
        <w:t>023-ENER-2017</w:t>
      </w:r>
    </w:p>
    <w:p w14:paraId="58868C22" w14:textId="07B82A52" w:rsidR="001F6197" w:rsidRPr="0080018F" w:rsidRDefault="001F6197" w:rsidP="00B40D34">
      <w:pPr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80018F">
        <w:rPr>
          <w:rFonts w:ascii="Arial" w:hAnsi="Arial" w:cs="Arial"/>
          <w:bCs/>
          <w:sz w:val="20"/>
          <w:szCs w:val="20"/>
          <w:lang w:val="es-ES"/>
        </w:rPr>
        <w:t>Tabla 1.</w:t>
      </w:r>
      <w:r w:rsidR="00B06827" w:rsidRPr="0080018F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80018F">
        <w:rPr>
          <w:rFonts w:ascii="Arial" w:hAnsi="Arial" w:cs="Arial"/>
          <w:bCs/>
          <w:sz w:val="20"/>
          <w:szCs w:val="20"/>
          <w:lang w:val="es-ES"/>
        </w:rPr>
        <w:t>Nivel de Relación de Eficiencia Energética Estacional (REEE), en acondicionadores de aire tipo dividido, descarga libre y sin conductos</w:t>
      </w:r>
    </w:p>
    <w:tbl>
      <w:tblPr>
        <w:tblStyle w:val="Tablaconcuadrcula"/>
        <w:tblpPr w:leftFromText="141" w:rightFromText="141" w:vertAnchor="text" w:horzAnchor="margin" w:tblpY="58"/>
        <w:tblW w:w="8828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1F6197" w:rsidRPr="0080018F" w14:paraId="149E1AE9" w14:textId="77777777" w:rsidTr="001F6197"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33EBC" w14:textId="77777777" w:rsidR="001F6197" w:rsidRPr="0080018F" w:rsidRDefault="001F6197" w:rsidP="001F6197">
            <w:pPr>
              <w:pStyle w:val="rvps1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18F">
              <w:rPr>
                <w:rStyle w:val="rvts7"/>
                <w:rFonts w:ascii="Arial" w:hAnsi="Arial" w:cs="Arial"/>
                <w:sz w:val="20"/>
                <w:szCs w:val="20"/>
              </w:rPr>
              <w:t>Capacidad de enfriamiento</w:t>
            </w:r>
          </w:p>
          <w:p w14:paraId="15B338A4" w14:textId="4FFA7E33" w:rsidR="001F6197" w:rsidRPr="0080018F" w:rsidRDefault="001F6197" w:rsidP="001F61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80018F">
              <w:rPr>
                <w:rStyle w:val="rvts7"/>
                <w:rFonts w:ascii="Arial" w:hAnsi="Arial" w:cs="Arial"/>
                <w:sz w:val="20"/>
                <w:szCs w:val="20"/>
              </w:rPr>
              <w:t>Watts (BTU/h)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67BB1" w14:textId="77777777" w:rsidR="001F6197" w:rsidRPr="0080018F" w:rsidRDefault="001F6197" w:rsidP="001F6197">
            <w:pPr>
              <w:pStyle w:val="rvps15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018F">
              <w:rPr>
                <w:rStyle w:val="rvts7"/>
                <w:rFonts w:ascii="Arial" w:hAnsi="Arial" w:cs="Arial"/>
                <w:sz w:val="20"/>
                <w:szCs w:val="20"/>
                <w:lang w:val="en-US"/>
              </w:rPr>
              <w:t>REEE</w:t>
            </w:r>
          </w:p>
          <w:p w14:paraId="25464A53" w14:textId="62F40A91" w:rsidR="001F6197" w:rsidRPr="0080018F" w:rsidRDefault="001F6197" w:rsidP="001F61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0018F">
              <w:rPr>
                <w:rStyle w:val="rvts7"/>
                <w:rFonts w:ascii="Arial" w:hAnsi="Arial" w:cs="Arial"/>
                <w:sz w:val="20"/>
                <w:szCs w:val="20"/>
                <w:lang w:val="en-US"/>
              </w:rPr>
              <w:t>Wt/We (BTU/hW)</w:t>
            </w:r>
          </w:p>
        </w:tc>
      </w:tr>
      <w:tr w:rsidR="001F6197" w:rsidRPr="0080018F" w14:paraId="0A051955" w14:textId="77777777" w:rsidTr="001F6197"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B1E6F" w14:textId="474651A4" w:rsidR="001F6197" w:rsidRPr="0080018F" w:rsidRDefault="001F6197" w:rsidP="001F61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80018F">
              <w:rPr>
                <w:rStyle w:val="rvts7"/>
                <w:rFonts w:ascii="Arial" w:hAnsi="Arial" w:cs="Arial"/>
                <w:sz w:val="20"/>
                <w:szCs w:val="20"/>
              </w:rPr>
              <w:t>Hasta 4 101 (13 993)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5E4B4E3B" w14:textId="6FB6C8CE" w:rsidR="001F6197" w:rsidRPr="0080018F" w:rsidRDefault="001F6197" w:rsidP="001F61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80018F">
              <w:rPr>
                <w:rStyle w:val="rvts7"/>
                <w:rFonts w:ascii="Arial" w:hAnsi="Arial" w:cs="Arial"/>
                <w:sz w:val="20"/>
                <w:szCs w:val="20"/>
              </w:rPr>
              <w:t>3,37 (11,5)</w:t>
            </w:r>
          </w:p>
        </w:tc>
      </w:tr>
      <w:tr w:rsidR="001F6197" w:rsidRPr="0080018F" w14:paraId="577E90D6" w14:textId="77777777" w:rsidTr="001F6197"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28AEF" w14:textId="77777777" w:rsidR="001F6197" w:rsidRPr="0080018F" w:rsidRDefault="001F6197" w:rsidP="001F6197">
            <w:pPr>
              <w:pStyle w:val="rvps15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18F">
              <w:rPr>
                <w:rStyle w:val="rvts7"/>
                <w:rFonts w:ascii="Arial" w:hAnsi="Arial" w:cs="Arial"/>
                <w:sz w:val="20"/>
                <w:szCs w:val="20"/>
              </w:rPr>
              <w:t>Mayor que 4 101 (13 993)</w:t>
            </w:r>
          </w:p>
          <w:p w14:paraId="00A99AF0" w14:textId="5DD8D5A7" w:rsidR="001F6197" w:rsidRPr="0080018F" w:rsidRDefault="001F6197" w:rsidP="001F61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80018F">
              <w:rPr>
                <w:rStyle w:val="rvts7"/>
                <w:rFonts w:ascii="Arial" w:hAnsi="Arial" w:cs="Arial"/>
                <w:sz w:val="20"/>
                <w:szCs w:val="20"/>
              </w:rPr>
              <w:t>Hasta 5 859 (19 991,493)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5A9A07D" w14:textId="77777777" w:rsidR="001F6197" w:rsidRPr="0080018F" w:rsidRDefault="001F6197" w:rsidP="001F61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</w:tr>
      <w:tr w:rsidR="001F6197" w:rsidRPr="0080018F" w14:paraId="427580DD" w14:textId="77777777" w:rsidTr="001F6197"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957E9" w14:textId="77777777" w:rsidR="001F6197" w:rsidRPr="0080018F" w:rsidRDefault="001F6197" w:rsidP="001F6197">
            <w:pPr>
              <w:pStyle w:val="rvps1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18F">
              <w:rPr>
                <w:rStyle w:val="rvts7"/>
                <w:rFonts w:ascii="Arial" w:hAnsi="Arial" w:cs="Arial"/>
                <w:sz w:val="20"/>
                <w:szCs w:val="20"/>
              </w:rPr>
              <w:t>Mayor que 5 859 (19 991,493)</w:t>
            </w:r>
          </w:p>
          <w:p w14:paraId="2D873446" w14:textId="16A29C80" w:rsidR="001F6197" w:rsidRPr="0080018F" w:rsidRDefault="001F6197" w:rsidP="001F61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80018F">
              <w:rPr>
                <w:rStyle w:val="rvts7"/>
                <w:rFonts w:ascii="Arial" w:hAnsi="Arial" w:cs="Arial"/>
                <w:sz w:val="20"/>
                <w:szCs w:val="20"/>
              </w:rPr>
              <w:t>Hasta 10 600 (36 168,26)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D2371" w14:textId="3F31A341" w:rsidR="001F6197" w:rsidRPr="0080018F" w:rsidRDefault="001F6197" w:rsidP="001F61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80018F">
              <w:rPr>
                <w:rStyle w:val="rvts7"/>
                <w:rFonts w:ascii="Arial" w:hAnsi="Arial" w:cs="Arial"/>
                <w:sz w:val="20"/>
                <w:szCs w:val="20"/>
              </w:rPr>
              <w:t>3,31 (11,3)</w:t>
            </w:r>
          </w:p>
        </w:tc>
      </w:tr>
      <w:tr w:rsidR="001F6197" w:rsidRPr="0080018F" w14:paraId="322EEDB1" w14:textId="77777777" w:rsidTr="001F6197"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0BFC4" w14:textId="77777777" w:rsidR="001F6197" w:rsidRPr="0080018F" w:rsidRDefault="001F6197" w:rsidP="001F6197">
            <w:pPr>
              <w:pStyle w:val="rvps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018F">
              <w:rPr>
                <w:rStyle w:val="rvts7"/>
                <w:rFonts w:ascii="Arial" w:hAnsi="Arial" w:cs="Arial"/>
                <w:sz w:val="20"/>
                <w:szCs w:val="20"/>
              </w:rPr>
              <w:t>Mayor que 10 600 (36 168,26)</w:t>
            </w:r>
          </w:p>
          <w:p w14:paraId="30DD7DD2" w14:textId="2AD9A329" w:rsidR="001F6197" w:rsidRPr="0080018F" w:rsidRDefault="001F6197" w:rsidP="001F61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80018F">
              <w:rPr>
                <w:rStyle w:val="rvts7"/>
                <w:rFonts w:ascii="Arial" w:hAnsi="Arial" w:cs="Arial"/>
                <w:sz w:val="20"/>
                <w:szCs w:val="20"/>
              </w:rPr>
              <w:t>Hasta 19 050 (65 000,505)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0AB78" w14:textId="7A553787" w:rsidR="001F6197" w:rsidRPr="0080018F" w:rsidRDefault="001F6197" w:rsidP="001F619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80018F">
              <w:rPr>
                <w:rStyle w:val="rvts7"/>
                <w:rFonts w:ascii="Arial" w:hAnsi="Arial" w:cs="Arial"/>
                <w:sz w:val="20"/>
                <w:szCs w:val="20"/>
              </w:rPr>
              <w:t>3,28 (11,2)</w:t>
            </w:r>
          </w:p>
        </w:tc>
      </w:tr>
    </w:tbl>
    <w:p w14:paraId="64207DEA" w14:textId="02898FB6" w:rsidR="001E0AF0" w:rsidRPr="0080018F" w:rsidRDefault="001E0AF0" w:rsidP="00B40D34">
      <w:pPr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13EAC8CA" w14:textId="2F75F4EA" w:rsidR="001F6197" w:rsidRPr="0080018F" w:rsidRDefault="0080018F" w:rsidP="00F717CE">
      <w:pPr>
        <w:jc w:val="both"/>
        <w:rPr>
          <w:rFonts w:ascii="Arial" w:hAnsi="Arial" w:cs="Arial"/>
          <w:bCs/>
          <w:sz w:val="20"/>
          <w:szCs w:val="20"/>
          <w:lang w:val="es-ES"/>
        </w:rPr>
      </w:pPr>
      <w:bookmarkStart w:id="2" w:name="_Hlk74580099"/>
      <w:r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63360" behindDoc="0" locked="0" layoutInCell="1" allowOverlap="1" wp14:anchorId="79293A05" wp14:editId="40FE4E76">
            <wp:simplePos x="0" y="0"/>
            <wp:positionH relativeFrom="column">
              <wp:posOffset>1420292</wp:posOffset>
            </wp:positionH>
            <wp:positionV relativeFrom="paragraph">
              <wp:posOffset>343643</wp:posOffset>
            </wp:positionV>
            <wp:extent cx="2708275" cy="3305175"/>
            <wp:effectExtent l="0" t="0" r="0" b="9525"/>
            <wp:wrapTopAndBottom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E9E" w:rsidRPr="0080018F">
        <w:rPr>
          <w:rFonts w:ascii="Arial" w:hAnsi="Arial" w:cs="Arial"/>
          <w:bCs/>
          <w:sz w:val="20"/>
          <w:szCs w:val="20"/>
          <w:lang w:val="es-ES"/>
        </w:rPr>
        <w:t>L</w:t>
      </w:r>
      <w:r w:rsidR="001F6197" w:rsidRPr="0080018F">
        <w:rPr>
          <w:rFonts w:ascii="Arial" w:hAnsi="Arial" w:cs="Arial"/>
          <w:bCs/>
          <w:sz w:val="20"/>
          <w:szCs w:val="20"/>
          <w:lang w:val="es-ES"/>
        </w:rPr>
        <w:t>os equipos de aire</w:t>
      </w:r>
      <w:r w:rsidR="00DF2E9E" w:rsidRPr="0080018F">
        <w:rPr>
          <w:rFonts w:ascii="Arial" w:hAnsi="Arial" w:cs="Arial"/>
          <w:bCs/>
          <w:sz w:val="20"/>
          <w:szCs w:val="20"/>
          <w:lang w:val="es-ES"/>
        </w:rPr>
        <w:t xml:space="preserve"> acondicionado</w:t>
      </w:r>
      <w:r w:rsidR="001F6197" w:rsidRPr="0080018F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DF2E9E" w:rsidRPr="0080018F">
        <w:rPr>
          <w:rFonts w:ascii="Arial" w:hAnsi="Arial" w:cs="Arial"/>
          <w:bCs/>
          <w:sz w:val="20"/>
          <w:szCs w:val="20"/>
          <w:lang w:val="es-ES"/>
        </w:rPr>
        <w:t>deberán contener la siguiente etiqueta de acuerdo con la norma antes mencionada:</w:t>
      </w:r>
    </w:p>
    <w:bookmarkEnd w:id="2"/>
    <w:p w14:paraId="0A28FA27" w14:textId="5B417D2A" w:rsidR="0080018F" w:rsidRDefault="0080018F" w:rsidP="0080018F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rStyle w:val="rvts9"/>
        </w:rPr>
        <w:t>Ejemplo de etiqueta para acondicionadores de aire descarga libre sin conductos</w:t>
      </w:r>
    </w:p>
    <w:p w14:paraId="2995EF23" w14:textId="088FA3FB" w:rsidR="00795882" w:rsidRPr="00C9797E" w:rsidRDefault="00C9797E" w:rsidP="00F717CE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C9797E">
        <w:rPr>
          <w:rFonts w:ascii="Arial" w:hAnsi="Arial" w:cs="Arial"/>
          <w:b/>
          <w:sz w:val="20"/>
          <w:szCs w:val="20"/>
          <w:lang w:val="es-ES"/>
        </w:rPr>
        <w:lastRenderedPageBreak/>
        <w:t xml:space="preserve">1.2 </w:t>
      </w:r>
      <w:r w:rsidR="00DF2E9E" w:rsidRPr="00C9797E">
        <w:rPr>
          <w:rFonts w:ascii="Arial" w:hAnsi="Arial" w:cs="Arial"/>
          <w:b/>
          <w:sz w:val="20"/>
          <w:szCs w:val="20"/>
          <w:lang w:val="es-ES"/>
        </w:rPr>
        <w:t xml:space="preserve">De acuerdo con la </w:t>
      </w:r>
      <w:r w:rsidR="00795882" w:rsidRPr="00C9797E">
        <w:rPr>
          <w:rFonts w:ascii="Arial" w:hAnsi="Arial" w:cs="Arial"/>
          <w:b/>
          <w:sz w:val="20"/>
          <w:szCs w:val="20"/>
          <w:lang w:val="es-ES"/>
        </w:rPr>
        <w:t>NOM-011-ENER-2006</w:t>
      </w:r>
    </w:p>
    <w:p w14:paraId="6AED90F4" w14:textId="02FE03F1" w:rsidR="00DF2E9E" w:rsidRPr="0080018F" w:rsidRDefault="00DF2E9E" w:rsidP="00DF2E9E">
      <w:pPr>
        <w:pStyle w:val="Sinespaciado"/>
        <w:rPr>
          <w:rFonts w:ascii="Arial" w:hAnsi="Arial" w:cs="Arial"/>
          <w:bCs/>
          <w:sz w:val="20"/>
          <w:szCs w:val="20"/>
          <w:lang w:val="es-ES"/>
        </w:rPr>
      </w:pPr>
      <w:r w:rsidRPr="0080018F">
        <w:rPr>
          <w:rFonts w:ascii="Arial" w:hAnsi="Arial" w:cs="Arial"/>
          <w:bCs/>
          <w:sz w:val="20"/>
          <w:szCs w:val="20"/>
          <w:lang w:val="es-ES"/>
        </w:rPr>
        <w:t xml:space="preserve">TABLA </w:t>
      </w:r>
      <w:r w:rsidR="00720FEA" w:rsidRPr="0080018F">
        <w:rPr>
          <w:rFonts w:ascii="Arial" w:hAnsi="Arial" w:cs="Arial"/>
          <w:bCs/>
          <w:sz w:val="20"/>
          <w:szCs w:val="20"/>
          <w:lang w:val="es-ES"/>
        </w:rPr>
        <w:t>2</w:t>
      </w:r>
      <w:r w:rsidRPr="0080018F">
        <w:rPr>
          <w:rFonts w:ascii="Arial" w:hAnsi="Arial" w:cs="Arial"/>
          <w:bCs/>
          <w:sz w:val="20"/>
          <w:szCs w:val="20"/>
          <w:lang w:val="es-ES"/>
        </w:rPr>
        <w:t>.</w:t>
      </w:r>
      <w:r w:rsidR="00B06827" w:rsidRPr="0080018F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Pr="0080018F">
        <w:rPr>
          <w:rFonts w:ascii="Arial" w:hAnsi="Arial" w:cs="Arial"/>
          <w:bCs/>
          <w:sz w:val="20"/>
          <w:szCs w:val="20"/>
          <w:lang w:val="es-ES"/>
        </w:rPr>
        <w:t>Nivel de Relación de Eficiencia Energética Estacional (REEE),</w:t>
      </w:r>
    </w:p>
    <w:p w14:paraId="112E8597" w14:textId="5934C916" w:rsidR="00DF2E9E" w:rsidRPr="0080018F" w:rsidRDefault="00DF2E9E" w:rsidP="00DF2E9E">
      <w:pPr>
        <w:pStyle w:val="Sinespaciado"/>
        <w:rPr>
          <w:rFonts w:ascii="Arial" w:hAnsi="Arial" w:cs="Arial"/>
          <w:bCs/>
          <w:sz w:val="20"/>
          <w:szCs w:val="20"/>
          <w:lang w:val="es-ES"/>
        </w:rPr>
      </w:pPr>
      <w:r w:rsidRPr="0080018F">
        <w:rPr>
          <w:rFonts w:ascii="Arial" w:hAnsi="Arial" w:cs="Arial"/>
          <w:bCs/>
          <w:sz w:val="20"/>
          <w:szCs w:val="20"/>
          <w:lang w:val="es-ES"/>
        </w:rPr>
        <w:t>en acondicionadores de aire tipo central</w:t>
      </w:r>
    </w:p>
    <w:p w14:paraId="3B6C2BBF" w14:textId="35E3AD5B" w:rsidR="00DF2E9E" w:rsidRPr="0080018F" w:rsidRDefault="00DF2E9E" w:rsidP="00DF2E9E">
      <w:pPr>
        <w:pStyle w:val="Sinespaciado"/>
        <w:rPr>
          <w:rFonts w:ascii="Arial" w:hAnsi="Arial" w:cs="Arial"/>
          <w:bCs/>
          <w:sz w:val="20"/>
          <w:szCs w:val="20"/>
          <w:lang w:val="es-ES"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2925"/>
      </w:tblGrid>
      <w:tr w:rsidR="00DF2E9E" w:rsidRPr="0080018F" w14:paraId="69DD7C11" w14:textId="77777777" w:rsidTr="00DF2E9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A7C1" w14:textId="77777777" w:rsidR="00DF2E9E" w:rsidRPr="0080018F" w:rsidRDefault="00DF2E9E" w:rsidP="00DF2E9E">
            <w:pPr>
              <w:spacing w:before="100" w:beforeAutospacing="1" w:after="100" w:afterAutospacing="1" w:line="244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001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Capacidad de enfriamiento (watts)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7DD7" w14:textId="77777777" w:rsidR="00DF2E9E" w:rsidRPr="0080018F" w:rsidRDefault="00DF2E9E" w:rsidP="00DF2E9E">
            <w:pPr>
              <w:spacing w:before="100" w:beforeAutospacing="1" w:after="100" w:afterAutospacing="1" w:line="244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0018F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REEE (Wt/We)</w:t>
            </w:r>
          </w:p>
        </w:tc>
      </w:tr>
      <w:tr w:rsidR="00DF2E9E" w:rsidRPr="0080018F" w14:paraId="4E7C655E" w14:textId="77777777" w:rsidTr="00DF2E9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85A5" w14:textId="77777777" w:rsidR="00DF2E9E" w:rsidRPr="0080018F" w:rsidRDefault="00DF2E9E" w:rsidP="00DF2E9E">
            <w:pPr>
              <w:spacing w:before="100" w:beforeAutospacing="1" w:after="100" w:afterAutospacing="1" w:line="244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001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 8 800 a 19 050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F33D" w14:textId="77777777" w:rsidR="00DF2E9E" w:rsidRPr="0080018F" w:rsidRDefault="00DF2E9E" w:rsidP="00DF2E9E">
            <w:pPr>
              <w:spacing w:before="100" w:beforeAutospacing="1" w:after="100" w:afterAutospacing="1" w:line="244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001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3,81</w:t>
            </w:r>
          </w:p>
        </w:tc>
      </w:tr>
    </w:tbl>
    <w:p w14:paraId="203A542F" w14:textId="35877520" w:rsidR="00720FEA" w:rsidRPr="0080018F" w:rsidRDefault="00720FEA" w:rsidP="00720FEA">
      <w:pPr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609761C0" w14:textId="52241BB9" w:rsidR="00720FEA" w:rsidRPr="0080018F" w:rsidRDefault="00720FEA" w:rsidP="00720FEA">
      <w:pPr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80018F">
        <w:rPr>
          <w:rFonts w:ascii="Arial" w:eastAsia="Times New Roman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61312" behindDoc="0" locked="0" layoutInCell="1" allowOverlap="1" wp14:anchorId="087672BD" wp14:editId="1E3991C1">
            <wp:simplePos x="0" y="0"/>
            <wp:positionH relativeFrom="column">
              <wp:posOffset>1239675</wp:posOffset>
            </wp:positionH>
            <wp:positionV relativeFrom="paragraph">
              <wp:posOffset>633946</wp:posOffset>
            </wp:positionV>
            <wp:extent cx="3036570" cy="4192270"/>
            <wp:effectExtent l="0" t="0" r="0" b="0"/>
            <wp:wrapTopAndBottom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3" w:name="_Hlk74580661"/>
      <w:r w:rsidRPr="0080018F">
        <w:rPr>
          <w:rFonts w:ascii="Arial" w:hAnsi="Arial" w:cs="Arial"/>
          <w:bCs/>
          <w:sz w:val="20"/>
          <w:szCs w:val="20"/>
          <w:lang w:val="es-ES"/>
        </w:rPr>
        <w:t>Los equipos de aire acondicionado deberán contener la siguiente etiqueta de acuerdo con la norma antes mencionada</w:t>
      </w:r>
      <w:bookmarkEnd w:id="3"/>
      <w:r w:rsidRPr="0080018F">
        <w:rPr>
          <w:rFonts w:ascii="Arial" w:hAnsi="Arial" w:cs="Arial"/>
          <w:bCs/>
          <w:sz w:val="20"/>
          <w:szCs w:val="20"/>
          <w:lang w:val="es-ES"/>
        </w:rPr>
        <w:t>:</w:t>
      </w:r>
    </w:p>
    <w:p w14:paraId="5B71F434" w14:textId="3FC61AD9" w:rsidR="00720FEA" w:rsidRPr="0080018F" w:rsidRDefault="00720FEA" w:rsidP="00720FEA">
      <w:pPr>
        <w:spacing w:before="100" w:beforeAutospacing="1" w:after="100" w:afterAutospacing="1" w:line="244" w:lineRule="exact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  <w:r w:rsidRPr="0080018F">
        <w:rPr>
          <w:rFonts w:ascii="Arial" w:eastAsia="Times New Roman" w:hAnsi="Arial" w:cs="Arial"/>
          <w:sz w:val="20"/>
          <w:szCs w:val="20"/>
          <w:lang w:eastAsia="es-MX"/>
        </w:rPr>
        <w:t>Ejemplo de etiqueta para acondicionadores de aire tipo central</w:t>
      </w:r>
    </w:p>
    <w:p w14:paraId="2B83255F" w14:textId="77777777" w:rsidR="00720FEA" w:rsidRPr="0080018F" w:rsidRDefault="00720FEA" w:rsidP="00720FEA">
      <w:pPr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0FD7A0DF" w14:textId="77777777" w:rsidR="00720FEA" w:rsidRPr="0080018F" w:rsidRDefault="00720FEA" w:rsidP="00720FEA">
      <w:pPr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56030499" w14:textId="77C76AE1" w:rsidR="0080018F" w:rsidRDefault="0080018F">
      <w:pPr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br w:type="page"/>
      </w:r>
    </w:p>
    <w:p w14:paraId="61550101" w14:textId="0C18A6AE" w:rsidR="00720FEA" w:rsidRPr="00C9797E" w:rsidRDefault="00C9797E" w:rsidP="00720FEA">
      <w:p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C9797E">
        <w:rPr>
          <w:rFonts w:ascii="Arial" w:hAnsi="Arial" w:cs="Arial"/>
          <w:b/>
          <w:sz w:val="20"/>
          <w:szCs w:val="20"/>
          <w:lang w:val="es-ES"/>
        </w:rPr>
        <w:lastRenderedPageBreak/>
        <w:t xml:space="preserve">1.3 </w:t>
      </w:r>
      <w:r w:rsidR="00720FEA" w:rsidRPr="00C9797E">
        <w:rPr>
          <w:rFonts w:ascii="Arial" w:hAnsi="Arial" w:cs="Arial"/>
          <w:b/>
          <w:sz w:val="20"/>
          <w:szCs w:val="20"/>
          <w:lang w:val="es-ES"/>
        </w:rPr>
        <w:t>De acuerdo con la NOM-026-ENER-2015</w:t>
      </w:r>
    </w:p>
    <w:p w14:paraId="7EDA184A" w14:textId="10F182DB" w:rsidR="00720FEA" w:rsidRPr="0080018F" w:rsidRDefault="00B06827" w:rsidP="00720FEA">
      <w:pPr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80018F">
        <w:rPr>
          <w:rFonts w:ascii="Arial" w:hAnsi="Arial" w:cs="Arial"/>
          <w:bCs/>
          <w:sz w:val="20"/>
          <w:szCs w:val="20"/>
          <w:lang w:val="es-ES"/>
        </w:rPr>
        <w:t xml:space="preserve">TABLA 3. </w:t>
      </w:r>
      <w:r w:rsidR="00720FEA" w:rsidRPr="0080018F">
        <w:rPr>
          <w:rFonts w:ascii="Arial" w:hAnsi="Arial" w:cs="Arial"/>
          <w:bCs/>
          <w:sz w:val="20"/>
          <w:szCs w:val="20"/>
          <w:lang w:val="es-ES"/>
        </w:rPr>
        <w:t>Nivel mínimo de Relación de Eficiencia Energética Estacional (REEE), en acondicionadores de aire tipo dividido (Inverter) con flujo de refrigerante variable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5"/>
        <w:gridCol w:w="1770"/>
      </w:tblGrid>
      <w:tr w:rsidR="00720FEA" w:rsidRPr="00720FEA" w14:paraId="1761C085" w14:textId="77777777" w:rsidTr="00720FEA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35799" w14:textId="77777777" w:rsidR="00720FEA" w:rsidRPr="00720FEA" w:rsidRDefault="00720FEA" w:rsidP="00720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0F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Capacidad de enfriamiento Watts (BTU/h)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46A10" w14:textId="77777777" w:rsidR="00720FEA" w:rsidRPr="00720FEA" w:rsidRDefault="00720FEA" w:rsidP="00720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720FEA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REEE</w:t>
            </w:r>
          </w:p>
          <w:p w14:paraId="5975CDB7" w14:textId="77777777" w:rsidR="00720FEA" w:rsidRPr="00720FEA" w:rsidRDefault="00720FEA" w:rsidP="00720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</w:pPr>
            <w:r w:rsidRPr="00720FEA">
              <w:rPr>
                <w:rFonts w:ascii="Arial" w:eastAsia="Times New Roman" w:hAnsi="Arial" w:cs="Arial"/>
                <w:sz w:val="20"/>
                <w:szCs w:val="20"/>
                <w:lang w:val="en-US" w:eastAsia="es-MX"/>
              </w:rPr>
              <w:t>Wt/We (BTU/hW)</w:t>
            </w:r>
          </w:p>
        </w:tc>
      </w:tr>
      <w:tr w:rsidR="00720FEA" w:rsidRPr="00720FEA" w14:paraId="65E90B72" w14:textId="77777777" w:rsidTr="00720FEA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37C65" w14:textId="77777777" w:rsidR="00720FEA" w:rsidRPr="00720FEA" w:rsidRDefault="00720FEA" w:rsidP="00720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0F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Hasta 4 101 (13 993)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7EC83" w14:textId="77777777" w:rsidR="00720FEA" w:rsidRPr="00720FEA" w:rsidRDefault="00720FEA" w:rsidP="00720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0F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4.68 (16)</w:t>
            </w:r>
          </w:p>
        </w:tc>
      </w:tr>
      <w:tr w:rsidR="00720FEA" w:rsidRPr="00720FEA" w14:paraId="4EB759B9" w14:textId="77777777" w:rsidTr="00720FEA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8F48C" w14:textId="77777777" w:rsidR="00720FEA" w:rsidRPr="00720FEA" w:rsidRDefault="00720FEA" w:rsidP="00720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0F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Mayor que 4 101 (13 993) hasta 5 859 (19 991.493)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A7A6C" w14:textId="77777777" w:rsidR="00720FEA" w:rsidRPr="00720FEA" w:rsidRDefault="00720FEA" w:rsidP="00720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0F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4.68 (16)</w:t>
            </w:r>
          </w:p>
        </w:tc>
      </w:tr>
      <w:tr w:rsidR="00720FEA" w:rsidRPr="00720FEA" w14:paraId="58343765" w14:textId="77777777" w:rsidTr="00720FEA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9FBE6" w14:textId="77777777" w:rsidR="00720FEA" w:rsidRPr="00720FEA" w:rsidRDefault="00720FEA" w:rsidP="00720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0F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Mayor que 5 859 (19 991.493) hasta 10 600 (36 168.26)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1A3C3" w14:textId="77777777" w:rsidR="00720FEA" w:rsidRPr="00720FEA" w:rsidRDefault="00720FEA" w:rsidP="00720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0F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4.39 (15)</w:t>
            </w:r>
          </w:p>
        </w:tc>
      </w:tr>
      <w:tr w:rsidR="00720FEA" w:rsidRPr="00720FEA" w14:paraId="26702A87" w14:textId="77777777" w:rsidTr="00720FEA"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E0970" w14:textId="77777777" w:rsidR="00720FEA" w:rsidRPr="00720FEA" w:rsidRDefault="00720FEA" w:rsidP="00720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0F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Mayor que 10 600 (36168.26) hasta 19 050 (65 000.505)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CEF2B" w14:textId="77777777" w:rsidR="00720FEA" w:rsidRPr="00720FEA" w:rsidRDefault="00720FEA" w:rsidP="00720FE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20FE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4.10 (14)</w:t>
            </w:r>
          </w:p>
        </w:tc>
      </w:tr>
    </w:tbl>
    <w:p w14:paraId="2E00D192" w14:textId="48390E62" w:rsidR="00720FEA" w:rsidRPr="0080018F" w:rsidRDefault="00720FEA" w:rsidP="00720FEA">
      <w:pPr>
        <w:spacing w:before="100" w:beforeAutospacing="1" w:after="100" w:afterAutospacing="1" w:line="244" w:lineRule="exact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80018F">
        <w:rPr>
          <w:rFonts w:ascii="Arial" w:hAnsi="Arial" w:cs="Arial"/>
          <w:bCs/>
          <w:sz w:val="20"/>
          <w:szCs w:val="20"/>
          <w:lang w:val="es-ES"/>
        </w:rPr>
        <w:t>Los equipos de aire acondicionado deberán contener la siguiente etiqueta de acuerdo con la norma antes mencionada:</w:t>
      </w:r>
    </w:p>
    <w:p w14:paraId="4FE99972" w14:textId="4045B7A2" w:rsidR="00B06827" w:rsidRPr="0080018F" w:rsidRDefault="00B06827" w:rsidP="00720FEA">
      <w:pPr>
        <w:spacing w:before="100" w:beforeAutospacing="1" w:after="100" w:afterAutospacing="1" w:line="244" w:lineRule="exact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80018F">
        <w:rPr>
          <w:rFonts w:ascii="Arial" w:hAnsi="Arial" w:cs="Arial"/>
          <w:bCs/>
          <w:noProof/>
          <w:sz w:val="20"/>
          <w:szCs w:val="20"/>
          <w:lang w:eastAsia="es-MX"/>
        </w:rPr>
        <w:drawing>
          <wp:anchor distT="0" distB="0" distL="114300" distR="114300" simplePos="0" relativeHeight="251662336" behindDoc="0" locked="0" layoutInCell="1" allowOverlap="1" wp14:anchorId="74BE09A1" wp14:editId="6A7F9FDC">
            <wp:simplePos x="0" y="0"/>
            <wp:positionH relativeFrom="margin">
              <wp:posOffset>756872</wp:posOffset>
            </wp:positionH>
            <wp:positionV relativeFrom="paragraph">
              <wp:posOffset>435622</wp:posOffset>
            </wp:positionV>
            <wp:extent cx="3094990" cy="4632325"/>
            <wp:effectExtent l="0" t="0" r="0" b="0"/>
            <wp:wrapTopAndBottom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463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018F">
        <w:rPr>
          <w:rFonts w:ascii="Arial" w:hAnsi="Arial" w:cs="Arial"/>
          <w:bCs/>
          <w:sz w:val="20"/>
          <w:szCs w:val="20"/>
          <w:lang w:val="es-ES"/>
        </w:rPr>
        <w:t>Modelo de etiqueta para acondicionadores de aire tipo dividido (Inverter) de flujo de refrigerante variable</w:t>
      </w:r>
    </w:p>
    <w:p w14:paraId="1C9DE245" w14:textId="4EEFE6F8" w:rsidR="00157F2C" w:rsidRPr="0080018F" w:rsidRDefault="00157F2C" w:rsidP="00B40D34">
      <w:pPr>
        <w:jc w:val="both"/>
        <w:rPr>
          <w:rFonts w:ascii="Arial" w:hAnsi="Arial" w:cs="Arial"/>
          <w:sz w:val="20"/>
          <w:szCs w:val="20"/>
        </w:rPr>
      </w:pPr>
      <w:r w:rsidRPr="0080018F">
        <w:rPr>
          <w:rFonts w:ascii="Arial" w:hAnsi="Arial" w:cs="Arial"/>
          <w:sz w:val="20"/>
          <w:szCs w:val="20"/>
        </w:rPr>
        <w:t>La adquisición de los equipos de aire acondicionado deberá considerar solo el refrigerante de tipo ecológico.</w:t>
      </w:r>
    </w:p>
    <w:p w14:paraId="647C9C6C" w14:textId="0C4B18B0" w:rsidR="00157F2C" w:rsidRPr="0080018F" w:rsidRDefault="00157F2C" w:rsidP="00B40D34">
      <w:pPr>
        <w:jc w:val="both"/>
        <w:rPr>
          <w:rFonts w:ascii="Arial" w:hAnsi="Arial" w:cs="Arial"/>
          <w:sz w:val="20"/>
          <w:szCs w:val="20"/>
        </w:rPr>
      </w:pPr>
      <w:r w:rsidRPr="0080018F">
        <w:rPr>
          <w:rFonts w:ascii="Arial" w:hAnsi="Arial" w:cs="Arial"/>
          <w:sz w:val="20"/>
          <w:szCs w:val="20"/>
        </w:rPr>
        <w:t>La garantía en equipo de aire acondicionado será mayor o igual de un año.</w:t>
      </w:r>
    </w:p>
    <w:p w14:paraId="37FEC2F2" w14:textId="20DCABD6" w:rsidR="00157F2C" w:rsidRPr="0080018F" w:rsidRDefault="00157F2C" w:rsidP="00B40D34">
      <w:pPr>
        <w:jc w:val="both"/>
        <w:rPr>
          <w:rFonts w:ascii="Arial" w:hAnsi="Arial" w:cs="Arial"/>
          <w:sz w:val="20"/>
          <w:szCs w:val="20"/>
        </w:rPr>
      </w:pPr>
      <w:r w:rsidRPr="0080018F">
        <w:rPr>
          <w:rFonts w:ascii="Arial" w:hAnsi="Arial" w:cs="Arial"/>
          <w:sz w:val="20"/>
          <w:szCs w:val="20"/>
        </w:rPr>
        <w:t>Los equipos de aire acondicionado tienen un ciclo de vida</w:t>
      </w:r>
      <w:r w:rsidR="00A94C56" w:rsidRPr="0080018F">
        <w:rPr>
          <w:rFonts w:ascii="Arial" w:hAnsi="Arial" w:cs="Arial"/>
          <w:sz w:val="20"/>
          <w:szCs w:val="20"/>
        </w:rPr>
        <w:t xml:space="preserve"> de </w:t>
      </w:r>
      <w:r w:rsidRPr="0080018F">
        <w:rPr>
          <w:rFonts w:ascii="Arial" w:hAnsi="Arial" w:cs="Arial"/>
          <w:sz w:val="20"/>
          <w:szCs w:val="20"/>
        </w:rPr>
        <w:t>10 años</w:t>
      </w:r>
      <w:r w:rsidR="00A94C56" w:rsidRPr="0080018F">
        <w:rPr>
          <w:rFonts w:ascii="Arial" w:hAnsi="Arial" w:cs="Arial"/>
          <w:sz w:val="20"/>
          <w:szCs w:val="20"/>
        </w:rPr>
        <w:t xml:space="preserve">, al cumplir este periodo </w:t>
      </w:r>
      <w:r w:rsidRPr="0080018F">
        <w:rPr>
          <w:rFonts w:ascii="Arial" w:hAnsi="Arial" w:cs="Arial"/>
          <w:sz w:val="20"/>
          <w:szCs w:val="20"/>
        </w:rPr>
        <w:t xml:space="preserve">se evaluarán para verificar </w:t>
      </w:r>
      <w:r w:rsidR="00997673" w:rsidRPr="0080018F">
        <w:rPr>
          <w:rFonts w:ascii="Arial" w:hAnsi="Arial" w:cs="Arial"/>
          <w:sz w:val="20"/>
          <w:szCs w:val="20"/>
        </w:rPr>
        <w:t>si sigue</w:t>
      </w:r>
      <w:r w:rsidR="00A94C56" w:rsidRPr="0080018F">
        <w:rPr>
          <w:rFonts w:ascii="Arial" w:hAnsi="Arial" w:cs="Arial"/>
          <w:sz w:val="20"/>
          <w:szCs w:val="20"/>
        </w:rPr>
        <w:t xml:space="preserve"> cumpliendo con el nivel mínimo de relación de eficiencia energética estacional</w:t>
      </w:r>
      <w:r w:rsidRPr="0080018F">
        <w:rPr>
          <w:rFonts w:ascii="Arial" w:hAnsi="Arial" w:cs="Arial"/>
          <w:sz w:val="20"/>
          <w:szCs w:val="20"/>
        </w:rPr>
        <w:t>.</w:t>
      </w:r>
    </w:p>
    <w:p w14:paraId="1E20F245" w14:textId="53535C69" w:rsidR="00997673" w:rsidRPr="0080018F" w:rsidRDefault="0080018F" w:rsidP="0080018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80018F">
        <w:rPr>
          <w:rFonts w:ascii="Arial" w:hAnsi="Arial" w:cs="Arial"/>
          <w:b/>
          <w:bCs/>
          <w:sz w:val="20"/>
          <w:szCs w:val="20"/>
        </w:rPr>
        <w:t>LUMINARIAS</w:t>
      </w:r>
    </w:p>
    <w:p w14:paraId="5402D8FC" w14:textId="46733444" w:rsidR="00157F2C" w:rsidRPr="0080018F" w:rsidRDefault="0080018F" w:rsidP="00B40D34">
      <w:pPr>
        <w:jc w:val="both"/>
        <w:rPr>
          <w:rFonts w:ascii="Arial" w:hAnsi="Arial" w:cs="Arial"/>
          <w:sz w:val="20"/>
          <w:szCs w:val="20"/>
        </w:rPr>
      </w:pPr>
      <w:r w:rsidRPr="0080018F">
        <w:rPr>
          <w:rFonts w:ascii="Arial" w:hAnsi="Arial" w:cs="Arial"/>
          <w:sz w:val="20"/>
          <w:szCs w:val="20"/>
        </w:rPr>
        <w:t>Las nuevas adquisiciones de luminarias deberán</w:t>
      </w:r>
      <w:r w:rsidR="00997673" w:rsidRPr="0080018F">
        <w:rPr>
          <w:rFonts w:ascii="Arial" w:hAnsi="Arial" w:cs="Arial"/>
          <w:sz w:val="20"/>
          <w:szCs w:val="20"/>
        </w:rPr>
        <w:t xml:space="preserve"> de cumplir con los siguientes requisitos:</w:t>
      </w:r>
    </w:p>
    <w:p w14:paraId="0AC0ABC3" w14:textId="0601E505" w:rsidR="00997673" w:rsidRPr="00C9797E" w:rsidRDefault="00C9797E" w:rsidP="00B40D3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9797E">
        <w:rPr>
          <w:rFonts w:ascii="Arial" w:hAnsi="Arial" w:cs="Arial"/>
          <w:b/>
          <w:bCs/>
          <w:sz w:val="20"/>
          <w:szCs w:val="20"/>
        </w:rPr>
        <w:t xml:space="preserve">2.1 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C9797E">
        <w:rPr>
          <w:rFonts w:ascii="Arial" w:hAnsi="Arial" w:cs="Arial"/>
          <w:b/>
          <w:bCs/>
          <w:sz w:val="20"/>
          <w:szCs w:val="20"/>
        </w:rPr>
        <w:t>NTERIORES:</w:t>
      </w:r>
    </w:p>
    <w:p w14:paraId="71745936" w14:textId="2EACEEE0" w:rsidR="00997673" w:rsidRPr="00C9797E" w:rsidRDefault="00C9797E" w:rsidP="00B40D34">
      <w:pPr>
        <w:jc w:val="both"/>
        <w:rPr>
          <w:rFonts w:ascii="Arial" w:hAnsi="Arial" w:cs="Arial"/>
          <w:b/>
          <w:sz w:val="20"/>
          <w:szCs w:val="20"/>
        </w:rPr>
      </w:pPr>
      <w:bookmarkStart w:id="4" w:name="_Hlk74581285"/>
      <w:r w:rsidRPr="00C9797E">
        <w:rPr>
          <w:rFonts w:ascii="Arial" w:hAnsi="Arial" w:cs="Arial"/>
          <w:b/>
          <w:sz w:val="20"/>
          <w:szCs w:val="20"/>
          <w:lang w:val="es-ES"/>
        </w:rPr>
        <w:t xml:space="preserve">2.1.1 </w:t>
      </w:r>
      <w:r w:rsidR="00B06827" w:rsidRPr="00C9797E">
        <w:rPr>
          <w:rFonts w:ascii="Arial" w:hAnsi="Arial" w:cs="Arial"/>
          <w:b/>
          <w:sz w:val="20"/>
          <w:szCs w:val="20"/>
          <w:lang w:val="es-ES"/>
        </w:rPr>
        <w:t xml:space="preserve">De acuerdo con la </w:t>
      </w:r>
      <w:bookmarkEnd w:id="4"/>
      <w:r w:rsidR="00997673" w:rsidRPr="00C9797E">
        <w:rPr>
          <w:rFonts w:ascii="Arial" w:hAnsi="Arial" w:cs="Arial"/>
          <w:b/>
          <w:sz w:val="20"/>
          <w:szCs w:val="20"/>
        </w:rPr>
        <w:t>NOM-030-ENER-2012</w:t>
      </w:r>
    </w:p>
    <w:p w14:paraId="0BE16E76" w14:textId="284C194F" w:rsidR="00B06827" w:rsidRPr="0080018F" w:rsidRDefault="00B06827" w:rsidP="00B40D34">
      <w:pPr>
        <w:jc w:val="both"/>
        <w:rPr>
          <w:rFonts w:ascii="Arial" w:hAnsi="Arial" w:cs="Arial"/>
          <w:sz w:val="20"/>
          <w:szCs w:val="20"/>
        </w:rPr>
      </w:pPr>
      <w:r w:rsidRPr="0080018F">
        <w:rPr>
          <w:rFonts w:ascii="Arial" w:hAnsi="Arial" w:cs="Arial"/>
          <w:sz w:val="20"/>
          <w:szCs w:val="20"/>
        </w:rPr>
        <w:t>Eficacia luminosa mínima para lámparas de led integradas (omnidireccionales con forma de bulbo A, BT, P, PS y T) y ((lámparas de led integradas que no declaren la forma de bulbo) (no definido)</w:t>
      </w:r>
    </w:p>
    <w:tbl>
      <w:tblPr>
        <w:tblW w:w="0" w:type="auto"/>
        <w:tblInd w:w="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1"/>
        <w:gridCol w:w="3041"/>
      </w:tblGrid>
      <w:tr w:rsidR="00B06827" w:rsidRPr="00B06827" w14:paraId="22DFA4CD" w14:textId="77777777" w:rsidTr="00B06827">
        <w:trPr>
          <w:trHeight w:val="303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65FB3B1" w14:textId="77777777" w:rsidR="00B06827" w:rsidRPr="00B06827" w:rsidRDefault="00B06827" w:rsidP="00B0682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068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Intervalo de flujo luminoso total nominal (lm)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07D52D6" w14:textId="77777777" w:rsidR="00B06827" w:rsidRPr="00B06827" w:rsidRDefault="00B06827" w:rsidP="00B0682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068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Eficacia luminosa mínima (lm/W)</w:t>
            </w:r>
          </w:p>
        </w:tc>
      </w:tr>
      <w:tr w:rsidR="00B06827" w:rsidRPr="00B06827" w14:paraId="0D71022B" w14:textId="77777777" w:rsidTr="00B06827">
        <w:trPr>
          <w:trHeight w:val="288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8C203C4" w14:textId="77777777" w:rsidR="00B06827" w:rsidRPr="00B06827" w:rsidRDefault="00B06827" w:rsidP="00B0682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06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Menor o igual que 325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617785B" w14:textId="77777777" w:rsidR="00B06827" w:rsidRPr="00B06827" w:rsidRDefault="00B06827" w:rsidP="00B0682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06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55,00</w:t>
            </w:r>
          </w:p>
        </w:tc>
      </w:tr>
      <w:tr w:rsidR="00B06827" w:rsidRPr="00B06827" w14:paraId="3AC20167" w14:textId="77777777" w:rsidTr="00B06827">
        <w:trPr>
          <w:trHeight w:val="288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36CED8F" w14:textId="77777777" w:rsidR="00B06827" w:rsidRPr="00B06827" w:rsidRDefault="00B06827" w:rsidP="00B0682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06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Mayor que 325 y menor o igual que 450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4E25ACB" w14:textId="77777777" w:rsidR="00B06827" w:rsidRPr="00B06827" w:rsidRDefault="00B06827" w:rsidP="00B0682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06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65,00</w:t>
            </w:r>
          </w:p>
        </w:tc>
      </w:tr>
      <w:tr w:rsidR="00B06827" w:rsidRPr="00B06827" w14:paraId="4E134C17" w14:textId="77777777" w:rsidTr="00B06827">
        <w:trPr>
          <w:trHeight w:val="288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FBC9639" w14:textId="77777777" w:rsidR="00B06827" w:rsidRPr="00B06827" w:rsidRDefault="00B06827" w:rsidP="00B0682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06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Mayor que 450 y menor o igual que 800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0DBDF53" w14:textId="77777777" w:rsidR="00B06827" w:rsidRPr="00B06827" w:rsidRDefault="00B06827" w:rsidP="00B0682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06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65,00</w:t>
            </w:r>
          </w:p>
        </w:tc>
      </w:tr>
      <w:tr w:rsidR="00B06827" w:rsidRPr="00B06827" w14:paraId="267A6A21" w14:textId="77777777" w:rsidTr="00B06827">
        <w:trPr>
          <w:trHeight w:val="288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55AFF7F" w14:textId="77777777" w:rsidR="00B06827" w:rsidRPr="00B06827" w:rsidRDefault="00B06827" w:rsidP="00B0682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06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Mayor que 800 y menor o igual que 1 100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F088F9E" w14:textId="77777777" w:rsidR="00B06827" w:rsidRPr="00B06827" w:rsidRDefault="00B06827" w:rsidP="00B0682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06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70,00</w:t>
            </w:r>
          </w:p>
        </w:tc>
      </w:tr>
      <w:tr w:rsidR="00B06827" w:rsidRPr="00B06827" w14:paraId="1D40EB33" w14:textId="77777777" w:rsidTr="00B06827">
        <w:trPr>
          <w:trHeight w:val="288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14643A3" w14:textId="77777777" w:rsidR="00B06827" w:rsidRPr="00B06827" w:rsidRDefault="00B06827" w:rsidP="00B0682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06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Mayor que 1 100 y menor o igual que 1 600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F9DA147" w14:textId="77777777" w:rsidR="00B06827" w:rsidRPr="00B06827" w:rsidRDefault="00B06827" w:rsidP="00B0682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06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70,00</w:t>
            </w:r>
          </w:p>
        </w:tc>
      </w:tr>
      <w:tr w:rsidR="00B06827" w:rsidRPr="00B06827" w14:paraId="305E26FF" w14:textId="77777777" w:rsidTr="00B06827">
        <w:trPr>
          <w:trHeight w:val="303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E8BC52A" w14:textId="77777777" w:rsidR="00B06827" w:rsidRPr="00B06827" w:rsidRDefault="00B06827" w:rsidP="00B0682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06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Mayor que 1 600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317BA98" w14:textId="77777777" w:rsidR="00B06827" w:rsidRPr="00B06827" w:rsidRDefault="00B06827" w:rsidP="00B0682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06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70,00</w:t>
            </w:r>
          </w:p>
        </w:tc>
      </w:tr>
    </w:tbl>
    <w:p w14:paraId="4A35CD0A" w14:textId="0D07D65F" w:rsidR="00B06827" w:rsidRPr="0080018F" w:rsidRDefault="00B06827" w:rsidP="00B40D34">
      <w:pPr>
        <w:jc w:val="both"/>
        <w:rPr>
          <w:rFonts w:ascii="Arial" w:hAnsi="Arial" w:cs="Arial"/>
          <w:sz w:val="20"/>
          <w:szCs w:val="20"/>
        </w:rPr>
      </w:pPr>
    </w:p>
    <w:p w14:paraId="00B7B6E8" w14:textId="2CDE0E3A" w:rsidR="00B06827" w:rsidRPr="0080018F" w:rsidRDefault="00B06827" w:rsidP="00B40D34">
      <w:pPr>
        <w:jc w:val="both"/>
        <w:rPr>
          <w:rFonts w:ascii="Arial" w:hAnsi="Arial" w:cs="Arial"/>
          <w:sz w:val="20"/>
          <w:szCs w:val="20"/>
        </w:rPr>
      </w:pPr>
      <w:r w:rsidRPr="0080018F">
        <w:rPr>
          <w:rFonts w:ascii="Arial" w:hAnsi="Arial" w:cs="Arial"/>
          <w:sz w:val="20"/>
          <w:szCs w:val="20"/>
        </w:rPr>
        <w:t>Eficacia luminosa mínima de las lámparas de led integradas</w:t>
      </w:r>
      <w:r w:rsidRPr="0080018F">
        <w:rPr>
          <w:rFonts w:ascii="Arial" w:hAnsi="Arial" w:cs="Arial"/>
          <w:i/>
          <w:iCs/>
          <w:sz w:val="20"/>
          <w:szCs w:val="20"/>
        </w:rPr>
        <w:t xml:space="preserve"> </w:t>
      </w:r>
      <w:r w:rsidRPr="0080018F">
        <w:rPr>
          <w:rFonts w:ascii="Arial" w:hAnsi="Arial" w:cs="Arial"/>
          <w:sz w:val="20"/>
          <w:szCs w:val="20"/>
        </w:rPr>
        <w:t>omnidireccionales con forma de</w:t>
      </w:r>
      <w:r w:rsidRPr="0080018F">
        <w:rPr>
          <w:rFonts w:ascii="Arial" w:hAnsi="Arial" w:cs="Arial"/>
          <w:sz w:val="20"/>
          <w:szCs w:val="20"/>
        </w:rPr>
        <w:br/>
        <w:t>bulbo BA, C, CA, F y G</w:t>
      </w:r>
    </w:p>
    <w:tbl>
      <w:tblPr>
        <w:tblW w:w="0" w:type="auto"/>
        <w:tblInd w:w="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1"/>
        <w:gridCol w:w="3041"/>
      </w:tblGrid>
      <w:tr w:rsidR="00B06827" w:rsidRPr="00B06827" w14:paraId="55C3D5C7" w14:textId="77777777" w:rsidTr="00B06827">
        <w:trPr>
          <w:trHeight w:val="303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460B2AA" w14:textId="77777777" w:rsidR="00B06827" w:rsidRPr="00B06827" w:rsidRDefault="00B06827" w:rsidP="00B0682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068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Intervalo de flujo luminoso total nominal (lm)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CB2E338" w14:textId="77777777" w:rsidR="00B06827" w:rsidRPr="00B06827" w:rsidRDefault="00B06827" w:rsidP="00B0682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068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Eficacia luminosa mínima (lm/W)</w:t>
            </w:r>
          </w:p>
        </w:tc>
      </w:tr>
      <w:tr w:rsidR="00B06827" w:rsidRPr="00B06827" w14:paraId="0CF5C5BA" w14:textId="77777777" w:rsidTr="00B06827">
        <w:trPr>
          <w:trHeight w:val="288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54ED057D" w14:textId="77777777" w:rsidR="00B06827" w:rsidRPr="00B06827" w:rsidRDefault="00B06827" w:rsidP="00B06827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06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Menor o igual que 150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23F87037" w14:textId="77777777" w:rsidR="00B06827" w:rsidRPr="00B06827" w:rsidRDefault="00B06827" w:rsidP="00B0682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06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55,00</w:t>
            </w:r>
          </w:p>
        </w:tc>
      </w:tr>
      <w:tr w:rsidR="00B06827" w:rsidRPr="00B06827" w14:paraId="48D36D06" w14:textId="77777777" w:rsidTr="00B06827">
        <w:trPr>
          <w:trHeight w:val="288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4BAF1895" w14:textId="77777777" w:rsidR="00B06827" w:rsidRPr="00B06827" w:rsidRDefault="00B06827" w:rsidP="00B06827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06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Mayor que 150 y menor o igual que 300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74EE5D2" w14:textId="77777777" w:rsidR="00B06827" w:rsidRPr="00B06827" w:rsidRDefault="00B06827" w:rsidP="00B0682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06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55,00</w:t>
            </w:r>
          </w:p>
        </w:tc>
      </w:tr>
      <w:tr w:rsidR="00B06827" w:rsidRPr="00B06827" w14:paraId="54032794" w14:textId="77777777" w:rsidTr="00B06827">
        <w:trPr>
          <w:trHeight w:val="303"/>
        </w:trPr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720A60CF" w14:textId="77777777" w:rsidR="00B06827" w:rsidRPr="00B06827" w:rsidRDefault="00B06827" w:rsidP="00B06827">
            <w:pPr>
              <w:spacing w:after="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06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Mayor que 300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330D90B" w14:textId="77777777" w:rsidR="00B06827" w:rsidRPr="00B06827" w:rsidRDefault="00B06827" w:rsidP="00B0682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06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65,00</w:t>
            </w:r>
          </w:p>
        </w:tc>
      </w:tr>
    </w:tbl>
    <w:p w14:paraId="5DD48A0E" w14:textId="77777777" w:rsidR="00B06827" w:rsidRPr="0080018F" w:rsidRDefault="00B06827" w:rsidP="00B40D34">
      <w:pPr>
        <w:jc w:val="both"/>
        <w:rPr>
          <w:rFonts w:ascii="Arial" w:hAnsi="Arial" w:cs="Arial"/>
          <w:sz w:val="20"/>
          <w:szCs w:val="20"/>
        </w:rPr>
      </w:pPr>
    </w:p>
    <w:p w14:paraId="04FE2A83" w14:textId="42AF40C0" w:rsidR="0080018F" w:rsidRDefault="00800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B7AE155" w14:textId="48F518AC" w:rsidR="00997673" w:rsidRPr="00C9797E" w:rsidRDefault="00C9797E" w:rsidP="00B40D3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9797E">
        <w:rPr>
          <w:rFonts w:ascii="Arial" w:hAnsi="Arial" w:cs="Arial"/>
          <w:b/>
          <w:bCs/>
          <w:sz w:val="20"/>
          <w:szCs w:val="20"/>
        </w:rPr>
        <w:t xml:space="preserve">2.2 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C9797E">
        <w:rPr>
          <w:rFonts w:ascii="Arial" w:hAnsi="Arial" w:cs="Arial"/>
          <w:b/>
          <w:bCs/>
          <w:sz w:val="20"/>
          <w:szCs w:val="20"/>
        </w:rPr>
        <w:t>XTERIORES</w:t>
      </w:r>
    </w:p>
    <w:p w14:paraId="53C62B43" w14:textId="3D66B9C6" w:rsidR="00997673" w:rsidRPr="00C9797E" w:rsidRDefault="00C9797E" w:rsidP="00B40D34">
      <w:pPr>
        <w:jc w:val="both"/>
        <w:rPr>
          <w:rFonts w:ascii="Arial" w:hAnsi="Arial" w:cs="Arial"/>
          <w:b/>
          <w:sz w:val="20"/>
          <w:szCs w:val="20"/>
        </w:rPr>
      </w:pPr>
      <w:r w:rsidRPr="00C9797E">
        <w:rPr>
          <w:rFonts w:ascii="Arial" w:hAnsi="Arial" w:cs="Arial"/>
          <w:b/>
          <w:sz w:val="20"/>
          <w:szCs w:val="20"/>
          <w:lang w:val="es-ES"/>
        </w:rPr>
        <w:t xml:space="preserve">2.2.1 </w:t>
      </w:r>
      <w:r w:rsidR="00B06827" w:rsidRPr="00C9797E">
        <w:rPr>
          <w:rFonts w:ascii="Arial" w:hAnsi="Arial" w:cs="Arial"/>
          <w:b/>
          <w:sz w:val="20"/>
          <w:szCs w:val="20"/>
          <w:lang w:val="es-ES"/>
        </w:rPr>
        <w:t xml:space="preserve">De acuerdo con la </w:t>
      </w:r>
      <w:r w:rsidR="00997673" w:rsidRPr="00C9797E">
        <w:rPr>
          <w:rFonts w:ascii="Arial" w:hAnsi="Arial" w:cs="Arial"/>
          <w:b/>
          <w:sz w:val="20"/>
          <w:szCs w:val="20"/>
        </w:rPr>
        <w:t>NOM-031-ENER-2012</w:t>
      </w:r>
    </w:p>
    <w:p w14:paraId="131F9206" w14:textId="2FA5613D" w:rsidR="00B06827" w:rsidRPr="0080018F" w:rsidRDefault="0080018F" w:rsidP="00B40D34">
      <w:pPr>
        <w:jc w:val="both"/>
        <w:rPr>
          <w:rFonts w:ascii="Arial" w:hAnsi="Arial" w:cs="Arial"/>
          <w:sz w:val="20"/>
          <w:szCs w:val="20"/>
        </w:rPr>
      </w:pPr>
      <w:r w:rsidRPr="0080018F">
        <w:rPr>
          <w:rFonts w:ascii="Arial" w:hAnsi="Arial" w:cs="Arial"/>
          <w:sz w:val="20"/>
          <w:szCs w:val="20"/>
        </w:rPr>
        <w:t>Eficacia luminosa mínima y flujo luminoso total para luminarios de exteriores</w:t>
      </w:r>
    </w:p>
    <w:tbl>
      <w:tblPr>
        <w:tblW w:w="0" w:type="auto"/>
        <w:tblInd w:w="74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0"/>
        <w:gridCol w:w="2821"/>
        <w:gridCol w:w="4221"/>
      </w:tblGrid>
      <w:tr w:rsidR="0080018F" w:rsidRPr="0080018F" w14:paraId="793BE9A3" w14:textId="77777777" w:rsidTr="0080018F">
        <w:trPr>
          <w:trHeight w:val="680"/>
        </w:trPr>
        <w:tc>
          <w:tcPr>
            <w:tcW w:w="1670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0168D60" w14:textId="77777777" w:rsidR="0080018F" w:rsidRPr="0080018F" w:rsidRDefault="0080018F" w:rsidP="0080018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01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Luminario para</w:t>
            </w:r>
            <w:r w:rsidRPr="0080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Pr="008001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instalarse en</w:t>
            </w:r>
          </w:p>
        </w:tc>
        <w:tc>
          <w:tcPr>
            <w:tcW w:w="2821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C3A6334" w14:textId="77777777" w:rsidR="0080018F" w:rsidRPr="0080018F" w:rsidRDefault="0080018F" w:rsidP="0080018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01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Eficacia luminosa mínima [lm/</w:t>
            </w:r>
            <w:r w:rsidRPr="0080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Pr="008001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W]</w:t>
            </w:r>
          </w:p>
        </w:tc>
        <w:tc>
          <w:tcPr>
            <w:tcW w:w="4221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6FCBF19" w14:textId="77777777" w:rsidR="0080018F" w:rsidRPr="0080018F" w:rsidRDefault="0080018F" w:rsidP="0080018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01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Porcentaje de flujo luminoso en la zona,</w:t>
            </w:r>
            <w:r w:rsidRPr="0080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</w:r>
            <w:r w:rsidRPr="008001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respecto al flujo luminoso total</w:t>
            </w:r>
          </w:p>
        </w:tc>
      </w:tr>
      <w:tr w:rsidR="0080018F" w:rsidRPr="0080018F" w14:paraId="5B687C1D" w14:textId="77777777" w:rsidTr="0080018F">
        <w:trPr>
          <w:trHeight w:val="665"/>
        </w:trPr>
        <w:tc>
          <w:tcPr>
            <w:tcW w:w="1670" w:type="dxa"/>
            <w:vMerge w:val="restart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A7EFDF7" w14:textId="77777777" w:rsidR="0080018F" w:rsidRPr="0080018F" w:rsidRDefault="0080018F" w:rsidP="0080018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Pared</w:t>
            </w:r>
          </w:p>
        </w:tc>
        <w:tc>
          <w:tcPr>
            <w:tcW w:w="2821" w:type="dxa"/>
            <w:vMerge w:val="restart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4E1A800" w14:textId="77777777" w:rsidR="0080018F" w:rsidRPr="0080018F" w:rsidRDefault="0080018F" w:rsidP="0080018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4221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FF6D57A" w14:textId="77777777" w:rsidR="0080018F" w:rsidRPr="0080018F" w:rsidRDefault="0080018F" w:rsidP="0080018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más de 48% hacia enfrente en la zona de 60 y</w:t>
            </w:r>
            <w:r w:rsidRPr="0080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80 ° (FH)</w:t>
            </w:r>
          </w:p>
        </w:tc>
      </w:tr>
      <w:tr w:rsidR="0080018F" w:rsidRPr="0080018F" w14:paraId="2FFDCDA3" w14:textId="77777777" w:rsidTr="0080018F">
        <w:trPr>
          <w:trHeight w:val="665"/>
        </w:trPr>
        <w:tc>
          <w:tcPr>
            <w:tcW w:w="0" w:type="auto"/>
            <w:vMerge/>
            <w:vAlign w:val="center"/>
            <w:hideMark/>
          </w:tcPr>
          <w:p w14:paraId="526E59B9" w14:textId="77777777" w:rsidR="0080018F" w:rsidRPr="0080018F" w:rsidRDefault="0080018F" w:rsidP="00800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74EB57" w14:textId="77777777" w:rsidR="0080018F" w:rsidRPr="0080018F" w:rsidRDefault="0080018F" w:rsidP="00800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1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6756058" w14:textId="77777777" w:rsidR="0080018F" w:rsidRPr="0080018F" w:rsidRDefault="0080018F" w:rsidP="0080018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más de 3% hacia enfrente en la zona de 80 y</w:t>
            </w:r>
            <w:r w:rsidRPr="0080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90 ° (FVH)</w:t>
            </w:r>
          </w:p>
        </w:tc>
      </w:tr>
      <w:tr w:rsidR="0080018F" w:rsidRPr="0080018F" w14:paraId="44D626F4" w14:textId="77777777" w:rsidTr="0080018F">
        <w:trPr>
          <w:trHeight w:val="665"/>
        </w:trPr>
        <w:tc>
          <w:tcPr>
            <w:tcW w:w="0" w:type="auto"/>
            <w:vMerge/>
            <w:vAlign w:val="center"/>
            <w:hideMark/>
          </w:tcPr>
          <w:p w14:paraId="36C6AC80" w14:textId="77777777" w:rsidR="0080018F" w:rsidRPr="0080018F" w:rsidRDefault="0080018F" w:rsidP="00800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D46C82" w14:textId="77777777" w:rsidR="0080018F" w:rsidRPr="0080018F" w:rsidRDefault="0080018F" w:rsidP="00800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1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653B867" w14:textId="77777777" w:rsidR="0080018F" w:rsidRPr="0080018F" w:rsidRDefault="0080018F" w:rsidP="0080018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0% en la zona de 90 y 100 ° (UL) y en la zona</w:t>
            </w:r>
            <w:r w:rsidRPr="0080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arriba de 100 ° (UH)</w:t>
            </w:r>
          </w:p>
        </w:tc>
      </w:tr>
      <w:tr w:rsidR="0080018F" w:rsidRPr="0080018F" w14:paraId="6B86F39F" w14:textId="77777777" w:rsidTr="0080018F">
        <w:trPr>
          <w:trHeight w:val="665"/>
        </w:trPr>
        <w:tc>
          <w:tcPr>
            <w:tcW w:w="1670" w:type="dxa"/>
            <w:vMerge w:val="restart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6A128D1" w14:textId="77777777" w:rsidR="0080018F" w:rsidRPr="0080018F" w:rsidRDefault="0080018F" w:rsidP="0080018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Poste</w:t>
            </w:r>
          </w:p>
        </w:tc>
        <w:tc>
          <w:tcPr>
            <w:tcW w:w="2821" w:type="dxa"/>
            <w:vMerge w:val="restart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FA7D362" w14:textId="77777777" w:rsidR="0080018F" w:rsidRPr="0080018F" w:rsidRDefault="0080018F" w:rsidP="0080018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4221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465414C" w14:textId="77777777" w:rsidR="0080018F" w:rsidRPr="0080018F" w:rsidRDefault="0080018F" w:rsidP="0080018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 menos el 30% hacia enfrente y hacia atrás en la</w:t>
            </w:r>
            <w:r w:rsidRPr="0080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zona de 60 y 80 ° (FH + BH)</w:t>
            </w:r>
          </w:p>
        </w:tc>
      </w:tr>
      <w:tr w:rsidR="0080018F" w:rsidRPr="0080018F" w14:paraId="1FDE51AA" w14:textId="77777777" w:rsidTr="0080018F">
        <w:trPr>
          <w:trHeight w:val="680"/>
        </w:trPr>
        <w:tc>
          <w:tcPr>
            <w:tcW w:w="0" w:type="auto"/>
            <w:vMerge/>
            <w:vAlign w:val="center"/>
            <w:hideMark/>
          </w:tcPr>
          <w:p w14:paraId="333D1412" w14:textId="77777777" w:rsidR="0080018F" w:rsidRPr="0080018F" w:rsidRDefault="0080018F" w:rsidP="00800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37D360" w14:textId="77777777" w:rsidR="0080018F" w:rsidRPr="0080018F" w:rsidRDefault="0080018F" w:rsidP="008001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21" w:type="dxa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DB4E5BC" w14:textId="77777777" w:rsidR="0080018F" w:rsidRPr="0080018F" w:rsidRDefault="0080018F" w:rsidP="0080018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0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 más del 20% arriba de 80 ° (FVH + BVH + UL +</w:t>
            </w:r>
            <w:r w:rsidRPr="00800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UH)</w:t>
            </w:r>
          </w:p>
        </w:tc>
      </w:tr>
    </w:tbl>
    <w:p w14:paraId="6167D5A6" w14:textId="77777777" w:rsidR="00997673" w:rsidRPr="0080018F" w:rsidRDefault="00997673" w:rsidP="00B40D34">
      <w:pPr>
        <w:jc w:val="both"/>
        <w:rPr>
          <w:rFonts w:ascii="Arial" w:hAnsi="Arial" w:cs="Arial"/>
          <w:sz w:val="20"/>
          <w:szCs w:val="20"/>
        </w:rPr>
      </w:pPr>
    </w:p>
    <w:p w14:paraId="47A330E4" w14:textId="73276AC9" w:rsidR="0080018F" w:rsidRDefault="000C2A03" w:rsidP="00B40D34">
      <w:pPr>
        <w:jc w:val="both"/>
        <w:rPr>
          <w:rFonts w:ascii="Arial" w:hAnsi="Arial" w:cs="Arial"/>
          <w:sz w:val="20"/>
          <w:szCs w:val="20"/>
        </w:rPr>
      </w:pPr>
      <w:r w:rsidRPr="0080018F">
        <w:rPr>
          <w:rFonts w:ascii="Arial" w:hAnsi="Arial" w:cs="Arial"/>
          <w:sz w:val="20"/>
          <w:szCs w:val="20"/>
        </w:rPr>
        <w:t>Los ciclos de vida para las luminarias LED son de 3000 horas para realizar su reemplazo.</w:t>
      </w:r>
    </w:p>
    <w:p w14:paraId="24B23378" w14:textId="77777777" w:rsidR="0080018F" w:rsidRDefault="0080018F" w:rsidP="00B40D3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37595EB" w14:textId="020C8395" w:rsidR="000C2A03" w:rsidRPr="0080018F" w:rsidRDefault="000C2A03" w:rsidP="0080018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0018F">
        <w:rPr>
          <w:rFonts w:ascii="Arial" w:hAnsi="Arial" w:cs="Arial"/>
          <w:b/>
          <w:bCs/>
          <w:sz w:val="20"/>
          <w:szCs w:val="20"/>
        </w:rPr>
        <w:t>EQUIPOS DE OFIMÁTICA</w:t>
      </w:r>
    </w:p>
    <w:p w14:paraId="08C3DACD" w14:textId="7A7E723E" w:rsidR="000C2A03" w:rsidRPr="0080018F" w:rsidRDefault="002A0064" w:rsidP="00B40D34">
      <w:pPr>
        <w:jc w:val="both"/>
        <w:rPr>
          <w:rFonts w:ascii="Arial" w:hAnsi="Arial" w:cs="Arial"/>
          <w:sz w:val="20"/>
          <w:szCs w:val="20"/>
        </w:rPr>
      </w:pPr>
      <w:r w:rsidRPr="0080018F">
        <w:rPr>
          <w:rFonts w:ascii="Arial" w:hAnsi="Arial" w:cs="Arial"/>
          <w:sz w:val="20"/>
          <w:szCs w:val="20"/>
        </w:rPr>
        <w:t>Para la adquisición de equipos de cómputo deberá</w:t>
      </w:r>
      <w:r w:rsidR="003B0FF6" w:rsidRPr="0080018F">
        <w:rPr>
          <w:rFonts w:ascii="Arial" w:hAnsi="Arial" w:cs="Arial"/>
          <w:sz w:val="20"/>
          <w:szCs w:val="20"/>
        </w:rPr>
        <w:t>n</w:t>
      </w:r>
      <w:r w:rsidRPr="0080018F">
        <w:rPr>
          <w:rFonts w:ascii="Arial" w:hAnsi="Arial" w:cs="Arial"/>
          <w:sz w:val="20"/>
          <w:szCs w:val="20"/>
        </w:rPr>
        <w:t xml:space="preserve"> ser monitores LED</w:t>
      </w:r>
      <w:r w:rsidR="003B0FF6" w:rsidRPr="0080018F">
        <w:rPr>
          <w:rFonts w:ascii="Arial" w:hAnsi="Arial" w:cs="Arial"/>
          <w:sz w:val="20"/>
          <w:szCs w:val="20"/>
        </w:rPr>
        <w:t xml:space="preserve"> que cumpla con potencia máxima en modo de espera de 1 watt </w:t>
      </w:r>
      <w:r w:rsidR="0080018F" w:rsidRPr="0080018F">
        <w:rPr>
          <w:rFonts w:ascii="Arial" w:hAnsi="Arial" w:cs="Arial"/>
          <w:sz w:val="20"/>
          <w:szCs w:val="20"/>
        </w:rPr>
        <w:t>de acuerdo con</w:t>
      </w:r>
      <w:r w:rsidR="003B0FF6" w:rsidRPr="0080018F">
        <w:rPr>
          <w:rFonts w:ascii="Arial" w:hAnsi="Arial" w:cs="Arial"/>
          <w:sz w:val="20"/>
          <w:szCs w:val="20"/>
        </w:rPr>
        <w:t xml:space="preserve"> la NOM -032-ENER-2017</w:t>
      </w:r>
      <w:r w:rsidR="00A950FA" w:rsidRPr="0080018F">
        <w:rPr>
          <w:rFonts w:ascii="Arial" w:hAnsi="Arial" w:cs="Arial"/>
          <w:sz w:val="20"/>
          <w:szCs w:val="20"/>
        </w:rPr>
        <w:t>.</w:t>
      </w:r>
    </w:p>
    <w:sectPr w:rsidR="000C2A03" w:rsidRPr="008001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83AFB"/>
    <w:multiLevelType w:val="hybridMultilevel"/>
    <w:tmpl w:val="0478AF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09"/>
    <w:rsid w:val="000C2A03"/>
    <w:rsid w:val="00143C09"/>
    <w:rsid w:val="00157F2C"/>
    <w:rsid w:val="001E0AF0"/>
    <w:rsid w:val="001F6197"/>
    <w:rsid w:val="002A0064"/>
    <w:rsid w:val="003B0FF6"/>
    <w:rsid w:val="00412DF1"/>
    <w:rsid w:val="00532A22"/>
    <w:rsid w:val="00720FEA"/>
    <w:rsid w:val="00795882"/>
    <w:rsid w:val="007F6FFB"/>
    <w:rsid w:val="0080018F"/>
    <w:rsid w:val="00880BB3"/>
    <w:rsid w:val="00997673"/>
    <w:rsid w:val="009A2193"/>
    <w:rsid w:val="00A94C56"/>
    <w:rsid w:val="00A950FA"/>
    <w:rsid w:val="00AB29A5"/>
    <w:rsid w:val="00B06827"/>
    <w:rsid w:val="00B40D34"/>
    <w:rsid w:val="00C9797E"/>
    <w:rsid w:val="00DF2E9E"/>
    <w:rsid w:val="00F7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B4217"/>
  <w15:chartTrackingRefBased/>
  <w15:docId w15:val="{8D6CD621-8B71-4545-93D5-20D510FD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0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48">
    <w:name w:val="rvps148"/>
    <w:basedOn w:val="Normal"/>
    <w:rsid w:val="001F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rvts7">
    <w:name w:val="rvts7"/>
    <w:basedOn w:val="Fuentedeprrafopredeter"/>
    <w:rsid w:val="001F6197"/>
  </w:style>
  <w:style w:type="paragraph" w:customStyle="1" w:styleId="rvps150">
    <w:name w:val="rvps150"/>
    <w:basedOn w:val="Normal"/>
    <w:rsid w:val="001F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rvps154">
    <w:name w:val="rvps154"/>
    <w:basedOn w:val="Normal"/>
    <w:rsid w:val="001F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rvps157">
    <w:name w:val="rvps157"/>
    <w:basedOn w:val="Normal"/>
    <w:rsid w:val="001F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rvps160">
    <w:name w:val="rvps160"/>
    <w:basedOn w:val="Normal"/>
    <w:rsid w:val="001F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DF2E9E"/>
    <w:pPr>
      <w:spacing w:after="0" w:line="240" w:lineRule="auto"/>
    </w:pPr>
  </w:style>
  <w:style w:type="character" w:customStyle="1" w:styleId="rvts9">
    <w:name w:val="rvts9"/>
    <w:basedOn w:val="Fuentedeprrafopredeter"/>
    <w:rsid w:val="0080018F"/>
  </w:style>
  <w:style w:type="paragraph" w:styleId="Prrafodelista">
    <w:name w:val="List Paragraph"/>
    <w:basedOn w:val="Normal"/>
    <w:uiPriority w:val="34"/>
    <w:qFormat/>
    <w:rsid w:val="0080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595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3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63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3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5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0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2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8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5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2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4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8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itzel urias</dc:creator>
  <cp:keywords/>
  <dc:description/>
  <cp:lastModifiedBy>Ana Garcia</cp:lastModifiedBy>
  <cp:revision>2</cp:revision>
  <cp:lastPrinted>2021-06-14T18:39:00Z</cp:lastPrinted>
  <dcterms:created xsi:type="dcterms:W3CDTF">2021-06-18T16:33:00Z</dcterms:created>
  <dcterms:modified xsi:type="dcterms:W3CDTF">2021-06-18T16:33:00Z</dcterms:modified>
</cp:coreProperties>
</file>