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6C4" w:rsidRDefault="00E079DE">
      <w:pPr>
        <w:rPr>
          <w:lang w:val="es-ES"/>
        </w:rPr>
      </w:pPr>
      <w:bookmarkStart w:id="0" w:name="_GoBack"/>
      <w:bookmarkEnd w:id="0"/>
      <w:r>
        <w:rPr>
          <w:lang w:val="es-ES"/>
        </w:rPr>
        <w:t>Periodo de evaluación del riesgo:</w:t>
      </w:r>
    </w:p>
    <w:p w:rsidR="00E079DE" w:rsidRDefault="00E079DE">
      <w:pPr>
        <w:rPr>
          <w:lang w:val="es-ES"/>
        </w:rPr>
      </w:pPr>
    </w:p>
    <w:tbl>
      <w:tblPr>
        <w:tblStyle w:val="Tablaconcuadrcula"/>
        <w:tblW w:w="4997" w:type="pct"/>
        <w:tblLook w:val="04A0" w:firstRow="1" w:lastRow="0" w:firstColumn="1" w:lastColumn="0" w:noHBand="0" w:noVBand="1"/>
      </w:tblPr>
      <w:tblGrid>
        <w:gridCol w:w="1292"/>
        <w:gridCol w:w="1641"/>
        <w:gridCol w:w="1292"/>
        <w:gridCol w:w="1137"/>
        <w:gridCol w:w="1290"/>
        <w:gridCol w:w="1093"/>
        <w:gridCol w:w="1484"/>
        <w:gridCol w:w="1292"/>
        <w:gridCol w:w="958"/>
        <w:gridCol w:w="1616"/>
        <w:gridCol w:w="1286"/>
      </w:tblGrid>
      <w:tr w:rsidR="004B2CF7" w:rsidRPr="004B2CF7" w:rsidTr="006C5D44">
        <w:trPr>
          <w:trHeight w:val="544"/>
        </w:trPr>
        <w:tc>
          <w:tcPr>
            <w:tcW w:w="1020" w:type="pct"/>
            <w:gridSpan w:val="2"/>
            <w:shd w:val="clear" w:color="auto" w:fill="D9D9D9" w:themeFill="background1" w:themeFillShade="D9"/>
            <w:vAlign w:val="center"/>
          </w:tcPr>
          <w:p w:rsidR="0049070B" w:rsidRPr="006C5D44" w:rsidRDefault="0049070B" w:rsidP="00E079DE">
            <w:pPr>
              <w:jc w:val="center"/>
              <w:rPr>
                <w:rFonts w:ascii="Arial Narrow" w:hAnsi="Arial Narrow" w:cs="Arial"/>
                <w:b/>
                <w:bCs/>
                <w:sz w:val="20"/>
                <w:szCs w:val="20"/>
                <w:lang w:val="es-ES"/>
              </w:rPr>
            </w:pPr>
            <w:r w:rsidRPr="006C5D44">
              <w:rPr>
                <w:rFonts w:ascii="Arial Narrow" w:hAnsi="Arial Narrow" w:cs="Arial"/>
                <w:b/>
                <w:bCs/>
                <w:sz w:val="20"/>
                <w:szCs w:val="20"/>
                <w:lang w:val="es-ES"/>
              </w:rPr>
              <w:t>Identificación de Riesgo</w:t>
            </w:r>
          </w:p>
        </w:tc>
        <w:tc>
          <w:tcPr>
            <w:tcW w:w="449" w:type="pct"/>
            <w:vMerge w:val="restart"/>
            <w:shd w:val="clear" w:color="auto" w:fill="D9D9D9" w:themeFill="background1" w:themeFillShade="D9"/>
            <w:vAlign w:val="center"/>
          </w:tcPr>
          <w:p w:rsidR="0049070B" w:rsidRPr="004B2CF7" w:rsidRDefault="002154F0" w:rsidP="00E079DE">
            <w:pPr>
              <w:jc w:val="center"/>
              <w:rPr>
                <w:rFonts w:ascii="Arial Narrow" w:hAnsi="Arial Narrow" w:cs="Arial"/>
                <w:sz w:val="20"/>
                <w:szCs w:val="20"/>
                <w:lang w:val="es-ES"/>
              </w:rPr>
            </w:pPr>
            <w:r>
              <w:rPr>
                <w:rFonts w:ascii="Arial Narrow" w:hAnsi="Arial Narrow" w:cs="Arial"/>
                <w:sz w:val="20"/>
                <w:szCs w:val="20"/>
                <w:lang w:val="es-ES"/>
              </w:rPr>
              <w:t xml:space="preserve">                                            </w:t>
            </w:r>
            <w:r w:rsidR="0049070B" w:rsidRPr="004B2CF7">
              <w:rPr>
                <w:rFonts w:ascii="Arial Narrow" w:hAnsi="Arial Narrow" w:cs="Arial"/>
                <w:sz w:val="20"/>
                <w:szCs w:val="20"/>
                <w:lang w:val="es-ES"/>
              </w:rPr>
              <w:t>Evidencia</w:t>
            </w:r>
          </w:p>
        </w:tc>
        <w:tc>
          <w:tcPr>
            <w:tcW w:w="395" w:type="pct"/>
            <w:vMerge w:val="restart"/>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Clasificación</w:t>
            </w:r>
          </w:p>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u w:val="single"/>
                <w:lang w:val="es-ES"/>
              </w:rPr>
              <w:t>P</w:t>
            </w:r>
            <w:r w:rsidRPr="004B2CF7">
              <w:rPr>
                <w:rFonts w:ascii="Arial Narrow" w:hAnsi="Arial Narrow" w:cs="Arial"/>
                <w:sz w:val="20"/>
                <w:szCs w:val="20"/>
                <w:lang w:val="es-ES"/>
              </w:rPr>
              <w:t>robabilidad del riesgo</w:t>
            </w:r>
          </w:p>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(1 a 5)</w:t>
            </w:r>
          </w:p>
        </w:tc>
        <w:tc>
          <w:tcPr>
            <w:tcW w:w="449" w:type="pct"/>
            <w:vMerge w:val="restart"/>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Clasificación</w:t>
            </w:r>
          </w:p>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u w:val="single"/>
                <w:lang w:val="es-ES"/>
              </w:rPr>
              <w:t>C</w:t>
            </w:r>
            <w:r w:rsidRPr="004B2CF7">
              <w:rPr>
                <w:rFonts w:ascii="Arial Narrow" w:hAnsi="Arial Narrow" w:cs="Arial"/>
                <w:sz w:val="20"/>
                <w:szCs w:val="20"/>
                <w:lang w:val="es-ES"/>
              </w:rPr>
              <w:t>onsecuencia del riesgo</w:t>
            </w:r>
          </w:p>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(1 a 5)</w:t>
            </w:r>
          </w:p>
        </w:tc>
        <w:tc>
          <w:tcPr>
            <w:tcW w:w="380" w:type="pct"/>
            <w:vMerge w:val="restart"/>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Índice de riesgo</w:t>
            </w:r>
          </w:p>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P x C = I</w:t>
            </w:r>
          </w:p>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(1 a 5)</w:t>
            </w:r>
          </w:p>
        </w:tc>
        <w:tc>
          <w:tcPr>
            <w:tcW w:w="516" w:type="pct"/>
            <w:vMerge w:val="restart"/>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Evaluación de Riesgo</w:t>
            </w:r>
          </w:p>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Bajo-Medio-Alto</w:t>
            </w:r>
          </w:p>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(1-8) (9-16) (17-25)</w:t>
            </w:r>
          </w:p>
        </w:tc>
        <w:tc>
          <w:tcPr>
            <w:tcW w:w="782" w:type="pct"/>
            <w:gridSpan w:val="2"/>
            <w:vMerge w:val="restart"/>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Acción y Temporalidad para tratar los riesgos y oportunidades</w:t>
            </w:r>
          </w:p>
        </w:tc>
        <w:tc>
          <w:tcPr>
            <w:tcW w:w="562" w:type="pct"/>
            <w:vMerge w:val="restart"/>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Consecuencia de no atender el Riesgo</w:t>
            </w:r>
          </w:p>
        </w:tc>
        <w:tc>
          <w:tcPr>
            <w:tcW w:w="448" w:type="pct"/>
            <w:vMerge w:val="restart"/>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Oportunidad de Mejora</w:t>
            </w:r>
          </w:p>
        </w:tc>
      </w:tr>
      <w:tr w:rsidR="004B2CF7" w:rsidRPr="004B2CF7" w:rsidTr="004B2CF7">
        <w:tc>
          <w:tcPr>
            <w:tcW w:w="449" w:type="pct"/>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Fuente del riesgo</w:t>
            </w:r>
          </w:p>
        </w:tc>
        <w:tc>
          <w:tcPr>
            <w:tcW w:w="571" w:type="pct"/>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Riesgo</w:t>
            </w:r>
          </w:p>
        </w:tc>
        <w:tc>
          <w:tcPr>
            <w:tcW w:w="449" w:type="pct"/>
            <w:vMerge/>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p>
        </w:tc>
        <w:tc>
          <w:tcPr>
            <w:tcW w:w="395" w:type="pct"/>
            <w:vMerge/>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p>
        </w:tc>
        <w:tc>
          <w:tcPr>
            <w:tcW w:w="449" w:type="pct"/>
            <w:vMerge/>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p>
        </w:tc>
        <w:tc>
          <w:tcPr>
            <w:tcW w:w="380" w:type="pct"/>
            <w:vMerge/>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p>
        </w:tc>
        <w:tc>
          <w:tcPr>
            <w:tcW w:w="516" w:type="pct"/>
            <w:vMerge/>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p>
        </w:tc>
        <w:tc>
          <w:tcPr>
            <w:tcW w:w="782" w:type="pct"/>
            <w:gridSpan w:val="2"/>
            <w:vMerge/>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p>
        </w:tc>
        <w:tc>
          <w:tcPr>
            <w:tcW w:w="562" w:type="pct"/>
            <w:vMerge/>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p>
        </w:tc>
        <w:tc>
          <w:tcPr>
            <w:tcW w:w="448" w:type="pct"/>
            <w:vMerge/>
            <w:shd w:val="clear" w:color="auto" w:fill="D9D9D9" w:themeFill="background1" w:themeFillShade="D9"/>
            <w:vAlign w:val="center"/>
          </w:tcPr>
          <w:p w:rsidR="0049070B" w:rsidRPr="004B2CF7" w:rsidRDefault="0049070B" w:rsidP="00E079DE">
            <w:pPr>
              <w:jc w:val="center"/>
              <w:rPr>
                <w:rFonts w:ascii="Arial Narrow" w:hAnsi="Arial Narrow" w:cs="Arial"/>
                <w:sz w:val="20"/>
                <w:szCs w:val="20"/>
                <w:lang w:val="es-ES"/>
              </w:rPr>
            </w:pPr>
          </w:p>
        </w:tc>
      </w:tr>
      <w:tr w:rsidR="004B2CF7" w:rsidRPr="004B2CF7" w:rsidTr="004B2CF7">
        <w:tc>
          <w:tcPr>
            <w:tcW w:w="449" w:type="pct"/>
            <w:vAlign w:val="center"/>
          </w:tcPr>
          <w:p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Revisión Energética</w:t>
            </w:r>
          </w:p>
        </w:tc>
        <w:tc>
          <w:tcPr>
            <w:tcW w:w="571"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No identificar los usos significativos de la energía</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Formatos de revisión energética</w:t>
            </w:r>
          </w:p>
        </w:tc>
        <w:tc>
          <w:tcPr>
            <w:tcW w:w="395"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380"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516"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Baja</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Realizar el análisis energético</w:t>
            </w:r>
          </w:p>
        </w:tc>
        <w:tc>
          <w:tcPr>
            <w:tcW w:w="332"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Inmediato</w:t>
            </w:r>
          </w:p>
        </w:tc>
        <w:tc>
          <w:tcPr>
            <w:tcW w:w="562" w:type="pct"/>
            <w:vAlign w:val="center"/>
          </w:tcPr>
          <w:p w:rsidR="00E079DE" w:rsidRPr="004B2CF7" w:rsidRDefault="00BD4CA5" w:rsidP="00E079DE">
            <w:pPr>
              <w:jc w:val="center"/>
              <w:rPr>
                <w:rFonts w:ascii="Arial Narrow" w:hAnsi="Arial Narrow" w:cs="Arial"/>
                <w:sz w:val="20"/>
                <w:szCs w:val="20"/>
                <w:lang w:val="es-ES"/>
              </w:rPr>
            </w:pPr>
            <w:r w:rsidRPr="004B2CF7">
              <w:rPr>
                <w:rFonts w:ascii="Arial Narrow" w:hAnsi="Arial Narrow" w:cs="Arial"/>
                <w:sz w:val="20"/>
                <w:szCs w:val="20"/>
                <w:lang w:val="es-ES"/>
              </w:rPr>
              <w:t>Falta</w:t>
            </w:r>
            <w:r w:rsidR="004B2CF7" w:rsidRPr="004B2CF7">
              <w:rPr>
                <w:rFonts w:ascii="Arial Narrow" w:hAnsi="Arial Narrow" w:cs="Arial"/>
                <w:sz w:val="20"/>
                <w:szCs w:val="20"/>
                <w:lang w:val="es-ES"/>
              </w:rPr>
              <w:t xml:space="preserve"> de mejora en el sistema</w:t>
            </w:r>
          </w:p>
        </w:tc>
        <w:tc>
          <w:tcPr>
            <w:tcW w:w="448"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Mejora en el desempeño energético</w:t>
            </w:r>
          </w:p>
        </w:tc>
      </w:tr>
      <w:tr w:rsidR="004B2CF7" w:rsidRPr="004B2CF7" w:rsidTr="004B2CF7">
        <w:tc>
          <w:tcPr>
            <w:tcW w:w="449" w:type="pct"/>
            <w:vAlign w:val="center"/>
          </w:tcPr>
          <w:p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Equipos consumidores de energía</w:t>
            </w:r>
          </w:p>
        </w:tc>
        <w:tc>
          <w:tcPr>
            <w:tcW w:w="571"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Consumo excesivo de energía</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Bitácora de usos y consumos de energía</w:t>
            </w:r>
          </w:p>
        </w:tc>
        <w:tc>
          <w:tcPr>
            <w:tcW w:w="395"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3</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380"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12</w:t>
            </w:r>
          </w:p>
        </w:tc>
        <w:tc>
          <w:tcPr>
            <w:tcW w:w="516"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Medio</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Programa de uso eficiente de la energía</w:t>
            </w:r>
          </w:p>
        </w:tc>
        <w:tc>
          <w:tcPr>
            <w:tcW w:w="332" w:type="pct"/>
            <w:vAlign w:val="center"/>
          </w:tcPr>
          <w:p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30 días</w:t>
            </w:r>
          </w:p>
        </w:tc>
        <w:tc>
          <w:tcPr>
            <w:tcW w:w="562"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Aumento del costo de la energía</w:t>
            </w:r>
          </w:p>
        </w:tc>
        <w:tc>
          <w:tcPr>
            <w:tcW w:w="448"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Disminución de los equipos consumidores de energía</w:t>
            </w:r>
          </w:p>
        </w:tc>
      </w:tr>
      <w:tr w:rsidR="004B2CF7" w:rsidRPr="004B2CF7" w:rsidTr="004B2CF7">
        <w:tc>
          <w:tcPr>
            <w:tcW w:w="449" w:type="pct"/>
            <w:vAlign w:val="center"/>
          </w:tcPr>
          <w:p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Consumo de energía eléctrica por iluminación</w:t>
            </w:r>
          </w:p>
        </w:tc>
        <w:tc>
          <w:tcPr>
            <w:tcW w:w="571"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Consumo excesivo de energía</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Inventarios de equipos de iluminación</w:t>
            </w:r>
          </w:p>
        </w:tc>
        <w:tc>
          <w:tcPr>
            <w:tcW w:w="395"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3</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380"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12</w:t>
            </w:r>
          </w:p>
        </w:tc>
        <w:tc>
          <w:tcPr>
            <w:tcW w:w="516"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Medio</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Programa de uso eficiente de la energía</w:t>
            </w:r>
          </w:p>
        </w:tc>
        <w:tc>
          <w:tcPr>
            <w:tcW w:w="332" w:type="pct"/>
            <w:vAlign w:val="center"/>
          </w:tcPr>
          <w:p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30 días</w:t>
            </w:r>
          </w:p>
        </w:tc>
        <w:tc>
          <w:tcPr>
            <w:tcW w:w="562"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Aumento del costo de la energía</w:t>
            </w:r>
          </w:p>
        </w:tc>
        <w:tc>
          <w:tcPr>
            <w:tcW w:w="448"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Disminución de los usos de la energía</w:t>
            </w:r>
          </w:p>
        </w:tc>
      </w:tr>
      <w:tr w:rsidR="004B2CF7" w:rsidRPr="004B2CF7" w:rsidTr="004B2CF7">
        <w:tc>
          <w:tcPr>
            <w:tcW w:w="449" w:type="pct"/>
            <w:vAlign w:val="center"/>
          </w:tcPr>
          <w:p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Mantenimiento</w:t>
            </w:r>
          </w:p>
        </w:tc>
        <w:tc>
          <w:tcPr>
            <w:tcW w:w="571"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Cortos</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Programa de mantenimiento</w:t>
            </w:r>
          </w:p>
        </w:tc>
        <w:tc>
          <w:tcPr>
            <w:tcW w:w="395"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3</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380"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12</w:t>
            </w:r>
          </w:p>
        </w:tc>
        <w:tc>
          <w:tcPr>
            <w:tcW w:w="516"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Medio</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Realizar el mantenimiento</w:t>
            </w:r>
          </w:p>
        </w:tc>
        <w:tc>
          <w:tcPr>
            <w:tcW w:w="332" w:type="pct"/>
            <w:vAlign w:val="center"/>
          </w:tcPr>
          <w:p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15 días</w:t>
            </w:r>
          </w:p>
        </w:tc>
        <w:tc>
          <w:tcPr>
            <w:tcW w:w="562"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Aumento en el gasto de compras de luminarias</w:t>
            </w:r>
          </w:p>
        </w:tc>
        <w:tc>
          <w:tcPr>
            <w:tcW w:w="448"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Modificación de las instalaciones eléctricas</w:t>
            </w:r>
          </w:p>
        </w:tc>
      </w:tr>
      <w:tr w:rsidR="004B2CF7" w:rsidRPr="004B2CF7" w:rsidTr="004B2CF7">
        <w:tc>
          <w:tcPr>
            <w:tcW w:w="449" w:type="pct"/>
            <w:vAlign w:val="center"/>
          </w:tcPr>
          <w:p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Consumo de energía</w:t>
            </w:r>
          </w:p>
        </w:tc>
        <w:tc>
          <w:tcPr>
            <w:tcW w:w="571"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Aumento del consumo histórico</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Historial de consumo de energía</w:t>
            </w:r>
          </w:p>
        </w:tc>
        <w:tc>
          <w:tcPr>
            <w:tcW w:w="395"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380"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16</w:t>
            </w:r>
          </w:p>
        </w:tc>
        <w:tc>
          <w:tcPr>
            <w:tcW w:w="516"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Medio</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Analizar los usos de la energía</w:t>
            </w:r>
          </w:p>
        </w:tc>
        <w:tc>
          <w:tcPr>
            <w:tcW w:w="332" w:type="pct"/>
            <w:vAlign w:val="center"/>
          </w:tcPr>
          <w:p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8 días</w:t>
            </w:r>
          </w:p>
        </w:tc>
        <w:tc>
          <w:tcPr>
            <w:tcW w:w="562"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Aumento en las cargas de energía en la red</w:t>
            </w:r>
          </w:p>
        </w:tc>
        <w:tc>
          <w:tcPr>
            <w:tcW w:w="448"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Disminución en costos de la energía</w:t>
            </w:r>
          </w:p>
        </w:tc>
      </w:tr>
      <w:tr w:rsidR="004B2CF7" w:rsidRPr="004B2CF7" w:rsidTr="004B2CF7">
        <w:tc>
          <w:tcPr>
            <w:tcW w:w="449" w:type="pct"/>
            <w:vAlign w:val="center"/>
          </w:tcPr>
          <w:p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Tendencias del uso y consumo de la energía</w:t>
            </w:r>
          </w:p>
        </w:tc>
        <w:tc>
          <w:tcPr>
            <w:tcW w:w="571"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Falta de análisis de las tendencias</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 xml:space="preserve">Indicadores del </w:t>
            </w:r>
            <w:proofErr w:type="spellStart"/>
            <w:r w:rsidRPr="004B2CF7">
              <w:rPr>
                <w:rFonts w:ascii="Arial Narrow" w:hAnsi="Arial Narrow" w:cs="Arial"/>
                <w:sz w:val="20"/>
                <w:szCs w:val="20"/>
                <w:lang w:val="es-ES"/>
              </w:rPr>
              <w:t>SGEn</w:t>
            </w:r>
            <w:proofErr w:type="spellEnd"/>
          </w:p>
        </w:tc>
        <w:tc>
          <w:tcPr>
            <w:tcW w:w="395"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2</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5</w:t>
            </w:r>
          </w:p>
        </w:tc>
        <w:tc>
          <w:tcPr>
            <w:tcW w:w="380"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10</w:t>
            </w:r>
          </w:p>
        </w:tc>
        <w:tc>
          <w:tcPr>
            <w:tcW w:w="516"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Medio</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Analizar los resultados de indicadores</w:t>
            </w:r>
          </w:p>
        </w:tc>
        <w:tc>
          <w:tcPr>
            <w:tcW w:w="332" w:type="pct"/>
            <w:vAlign w:val="center"/>
          </w:tcPr>
          <w:p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8 días</w:t>
            </w:r>
          </w:p>
        </w:tc>
        <w:tc>
          <w:tcPr>
            <w:tcW w:w="562"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No identificar las áreas de riesgos y mejora de la institución</w:t>
            </w:r>
          </w:p>
        </w:tc>
        <w:tc>
          <w:tcPr>
            <w:tcW w:w="448"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Análisis de riesgos</w:t>
            </w:r>
          </w:p>
        </w:tc>
      </w:tr>
      <w:tr w:rsidR="004B2CF7" w:rsidRPr="004B2CF7" w:rsidTr="004B2CF7">
        <w:tc>
          <w:tcPr>
            <w:tcW w:w="449" w:type="pct"/>
            <w:vAlign w:val="center"/>
          </w:tcPr>
          <w:p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Personal de la Institución</w:t>
            </w:r>
          </w:p>
        </w:tc>
        <w:tc>
          <w:tcPr>
            <w:tcW w:w="571"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 xml:space="preserve">Mal manejo de las fuentes </w:t>
            </w:r>
            <w:r w:rsidRPr="004B2CF7">
              <w:rPr>
                <w:rFonts w:ascii="Arial Narrow" w:hAnsi="Arial Narrow" w:cs="Arial"/>
                <w:sz w:val="20"/>
                <w:szCs w:val="20"/>
                <w:lang w:val="es-ES"/>
              </w:rPr>
              <w:lastRenderedPageBreak/>
              <w:t>consumidoras de la energía</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lastRenderedPageBreak/>
              <w:t>Inventario energético</w:t>
            </w:r>
          </w:p>
        </w:tc>
        <w:tc>
          <w:tcPr>
            <w:tcW w:w="395"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2</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5</w:t>
            </w:r>
          </w:p>
        </w:tc>
        <w:tc>
          <w:tcPr>
            <w:tcW w:w="380"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10</w:t>
            </w:r>
          </w:p>
        </w:tc>
        <w:tc>
          <w:tcPr>
            <w:tcW w:w="516"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Medio</w:t>
            </w:r>
          </w:p>
        </w:tc>
        <w:tc>
          <w:tcPr>
            <w:tcW w:w="449" w:type="pct"/>
            <w:vAlign w:val="center"/>
          </w:tcPr>
          <w:p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 xml:space="preserve">Capacitar sobre el uso y </w:t>
            </w:r>
            <w:r w:rsidRPr="004B2CF7">
              <w:rPr>
                <w:rFonts w:ascii="Arial Narrow" w:hAnsi="Arial Narrow" w:cs="Arial"/>
                <w:sz w:val="20"/>
                <w:szCs w:val="20"/>
                <w:lang w:val="es-ES"/>
              </w:rPr>
              <w:lastRenderedPageBreak/>
              <w:t>consumo de la energía</w:t>
            </w:r>
          </w:p>
        </w:tc>
        <w:tc>
          <w:tcPr>
            <w:tcW w:w="332" w:type="pct"/>
            <w:vAlign w:val="center"/>
          </w:tcPr>
          <w:p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lastRenderedPageBreak/>
              <w:t>Durante el periodo</w:t>
            </w:r>
          </w:p>
        </w:tc>
        <w:tc>
          <w:tcPr>
            <w:tcW w:w="562"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Consumo excesivo de energía</w:t>
            </w:r>
          </w:p>
        </w:tc>
        <w:tc>
          <w:tcPr>
            <w:tcW w:w="448"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Mejora en el desempeño energético</w:t>
            </w:r>
          </w:p>
        </w:tc>
      </w:tr>
      <w:tr w:rsidR="004B2CF7" w:rsidRPr="004B2CF7" w:rsidTr="004B2CF7">
        <w:tc>
          <w:tcPr>
            <w:tcW w:w="449" w:type="pct"/>
            <w:vAlign w:val="center"/>
          </w:tcPr>
          <w:p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Línea Base Energética</w:t>
            </w:r>
          </w:p>
        </w:tc>
        <w:tc>
          <w:tcPr>
            <w:tcW w:w="571"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 xml:space="preserve">Mala identificación de los indicadores del </w:t>
            </w:r>
            <w:proofErr w:type="spellStart"/>
            <w:r w:rsidRPr="004B2CF7">
              <w:rPr>
                <w:rFonts w:ascii="Arial Narrow" w:hAnsi="Arial Narrow" w:cs="Arial"/>
                <w:sz w:val="20"/>
                <w:szCs w:val="20"/>
                <w:lang w:val="es-ES"/>
              </w:rPr>
              <w:t>SGEn</w:t>
            </w:r>
            <w:proofErr w:type="spellEnd"/>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 xml:space="preserve">Formato de </w:t>
            </w:r>
            <w:proofErr w:type="spellStart"/>
            <w:r w:rsidRPr="004B2CF7">
              <w:rPr>
                <w:rFonts w:ascii="Arial Narrow" w:hAnsi="Arial Narrow" w:cs="Arial"/>
                <w:sz w:val="20"/>
                <w:szCs w:val="20"/>
                <w:lang w:val="es-ES"/>
              </w:rPr>
              <w:t>íínea</w:t>
            </w:r>
            <w:proofErr w:type="spellEnd"/>
            <w:r w:rsidRPr="004B2CF7">
              <w:rPr>
                <w:rFonts w:ascii="Arial Narrow" w:hAnsi="Arial Narrow" w:cs="Arial"/>
                <w:sz w:val="20"/>
                <w:szCs w:val="20"/>
                <w:lang w:val="es-ES"/>
              </w:rPr>
              <w:t xml:space="preserve"> base energética</w:t>
            </w:r>
          </w:p>
        </w:tc>
        <w:tc>
          <w:tcPr>
            <w:tcW w:w="395"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w:t>
            </w:r>
          </w:p>
        </w:tc>
        <w:tc>
          <w:tcPr>
            <w:tcW w:w="449"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380"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516" w:type="pct"/>
            <w:vAlign w:val="center"/>
          </w:tcPr>
          <w:p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Baja</w:t>
            </w:r>
          </w:p>
        </w:tc>
        <w:tc>
          <w:tcPr>
            <w:tcW w:w="449" w:type="pct"/>
            <w:vAlign w:val="center"/>
          </w:tcPr>
          <w:p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Realizar el análisis de la LBE</w:t>
            </w:r>
          </w:p>
        </w:tc>
        <w:tc>
          <w:tcPr>
            <w:tcW w:w="332" w:type="pct"/>
            <w:vAlign w:val="center"/>
          </w:tcPr>
          <w:p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Inmediato</w:t>
            </w:r>
          </w:p>
        </w:tc>
        <w:tc>
          <w:tcPr>
            <w:tcW w:w="562"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Mala toma de decisiones</w:t>
            </w:r>
          </w:p>
        </w:tc>
        <w:tc>
          <w:tcPr>
            <w:tcW w:w="448" w:type="pct"/>
            <w:vAlign w:val="center"/>
          </w:tcPr>
          <w:p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Identificación de las áreas de mejora</w:t>
            </w:r>
          </w:p>
        </w:tc>
      </w:tr>
    </w:tbl>
    <w:p w:rsidR="00E079DE" w:rsidRDefault="00E079DE">
      <w:pPr>
        <w:rPr>
          <w:lang w:val="es-ES"/>
        </w:rPr>
      </w:pPr>
    </w:p>
    <w:p w:rsidR="00AC2835" w:rsidRDefault="00AC2835" w:rsidP="00AC2835">
      <w:pPr>
        <w:jc w:val="both"/>
        <w:rPr>
          <w:lang w:val="es-ES"/>
        </w:rPr>
      </w:pPr>
      <w:r>
        <w:rPr>
          <w:lang w:val="es-ES"/>
        </w:rPr>
        <w:t>Considerar los posibles escenarios que pueden afectar a su organización/proceso/producto y/o servicio: interrupción de la cadena de suministro, los cambios tecnológicos, las presiones competitivas, cambios de divisas, la escase de materias primas, aumentos del precio del petróleo, paros laborales, recesión económica, el aumento de los requisitos legales, etc.</w:t>
      </w:r>
    </w:p>
    <w:p w:rsidR="00AC2835" w:rsidRDefault="00AC2835" w:rsidP="00AC2835">
      <w:pPr>
        <w:jc w:val="both"/>
        <w:rPr>
          <w:lang w:val="es-ES"/>
        </w:rPr>
      </w:pPr>
    </w:p>
    <w:p w:rsidR="0028490C" w:rsidRPr="00AC33C4" w:rsidRDefault="00AC2835" w:rsidP="00AC2835">
      <w:pPr>
        <w:jc w:val="both"/>
        <w:rPr>
          <w:b/>
          <w:bCs/>
          <w:lang w:val="es-ES"/>
        </w:rPr>
      </w:pPr>
      <w:r w:rsidRPr="0028490C">
        <w:rPr>
          <w:b/>
          <w:bCs/>
          <w:lang w:val="es-ES"/>
        </w:rPr>
        <w:t>1. Valoración de los riesgos.</w:t>
      </w:r>
    </w:p>
    <w:tbl>
      <w:tblPr>
        <w:tblStyle w:val="Tablaconcuadrcula"/>
        <w:tblW w:w="4997" w:type="pct"/>
        <w:tblLook w:val="04A0" w:firstRow="1" w:lastRow="0" w:firstColumn="1" w:lastColumn="0" w:noHBand="0" w:noVBand="1"/>
      </w:tblPr>
      <w:tblGrid>
        <w:gridCol w:w="1412"/>
        <w:gridCol w:w="1703"/>
        <w:gridCol w:w="11266"/>
      </w:tblGrid>
      <w:tr w:rsidR="00AC2835" w:rsidTr="00A07D2C">
        <w:tc>
          <w:tcPr>
            <w:tcW w:w="491" w:type="pct"/>
            <w:shd w:val="clear" w:color="auto" w:fill="D9D9D9" w:themeFill="background1" w:themeFillShade="D9"/>
          </w:tcPr>
          <w:p w:rsidR="00AC2835" w:rsidRPr="00A07D2C" w:rsidRDefault="00A07D2C" w:rsidP="00A07D2C">
            <w:pPr>
              <w:jc w:val="center"/>
              <w:rPr>
                <w:b/>
                <w:bCs/>
                <w:lang w:val="es-ES"/>
              </w:rPr>
            </w:pPr>
            <w:r w:rsidRPr="00A07D2C">
              <w:rPr>
                <w:b/>
                <w:bCs/>
                <w:lang w:val="es-ES"/>
              </w:rPr>
              <w:t>Valoración</w:t>
            </w:r>
          </w:p>
        </w:tc>
        <w:tc>
          <w:tcPr>
            <w:tcW w:w="592" w:type="pct"/>
            <w:shd w:val="clear" w:color="auto" w:fill="D9D9D9" w:themeFill="background1" w:themeFillShade="D9"/>
          </w:tcPr>
          <w:p w:rsidR="00AC2835" w:rsidRPr="00A07D2C" w:rsidRDefault="00A07D2C" w:rsidP="00A07D2C">
            <w:pPr>
              <w:jc w:val="center"/>
              <w:rPr>
                <w:b/>
                <w:bCs/>
                <w:lang w:val="es-ES"/>
              </w:rPr>
            </w:pPr>
            <w:r w:rsidRPr="00A07D2C">
              <w:rPr>
                <w:b/>
                <w:bCs/>
                <w:lang w:val="es-ES"/>
              </w:rPr>
              <w:t>Consecuencia</w:t>
            </w:r>
          </w:p>
        </w:tc>
        <w:tc>
          <w:tcPr>
            <w:tcW w:w="3917" w:type="pct"/>
            <w:shd w:val="clear" w:color="auto" w:fill="D9D9D9" w:themeFill="background1" w:themeFillShade="D9"/>
          </w:tcPr>
          <w:p w:rsidR="00AC2835" w:rsidRPr="00A07D2C" w:rsidRDefault="00A07D2C" w:rsidP="00AC2835">
            <w:pPr>
              <w:jc w:val="both"/>
              <w:rPr>
                <w:b/>
                <w:bCs/>
                <w:lang w:val="es-ES"/>
              </w:rPr>
            </w:pPr>
            <w:r w:rsidRPr="00A07D2C">
              <w:rPr>
                <w:b/>
                <w:bCs/>
                <w:lang w:val="es-ES"/>
              </w:rPr>
              <w:t>Criterio (Impacto del riesgo para el negocio)</w:t>
            </w:r>
          </w:p>
        </w:tc>
      </w:tr>
      <w:tr w:rsidR="00AC2835" w:rsidTr="00A07D2C">
        <w:tc>
          <w:tcPr>
            <w:tcW w:w="491" w:type="pct"/>
          </w:tcPr>
          <w:p w:rsidR="00AC2835" w:rsidRDefault="00A07D2C" w:rsidP="00A07D2C">
            <w:pPr>
              <w:jc w:val="center"/>
              <w:rPr>
                <w:lang w:val="es-ES"/>
              </w:rPr>
            </w:pPr>
            <w:r>
              <w:rPr>
                <w:lang w:val="es-ES"/>
              </w:rPr>
              <w:t>1</w:t>
            </w:r>
          </w:p>
        </w:tc>
        <w:tc>
          <w:tcPr>
            <w:tcW w:w="592" w:type="pct"/>
          </w:tcPr>
          <w:p w:rsidR="00AC2835" w:rsidRDefault="00A07D2C" w:rsidP="00A07D2C">
            <w:pPr>
              <w:jc w:val="center"/>
              <w:rPr>
                <w:lang w:val="es-ES"/>
              </w:rPr>
            </w:pPr>
            <w:r>
              <w:rPr>
                <w:lang w:val="es-ES"/>
              </w:rPr>
              <w:t>Incidental</w:t>
            </w:r>
          </w:p>
        </w:tc>
        <w:tc>
          <w:tcPr>
            <w:tcW w:w="3917" w:type="pct"/>
          </w:tcPr>
          <w:p w:rsidR="00AC2835" w:rsidRDefault="00A07D2C" w:rsidP="00AC2835">
            <w:pPr>
              <w:jc w:val="both"/>
              <w:rPr>
                <w:lang w:val="es-ES"/>
              </w:rPr>
            </w:pPr>
            <w:r w:rsidRPr="00A07D2C">
              <w:rPr>
                <w:b/>
                <w:bCs/>
                <w:lang w:val="es-ES"/>
              </w:rPr>
              <w:t>Impacto en la institución insignificante</w:t>
            </w:r>
            <w:r>
              <w:rPr>
                <w:lang w:val="es-ES"/>
              </w:rPr>
              <w:t>. Se puede remediar rápidamente. Nada reportable a la alta dirección. No hay productos o servicios no conformes. Mínima insatisfacción de personal o el cliente. La pérdida financiera hasta $X.</w:t>
            </w:r>
          </w:p>
        </w:tc>
      </w:tr>
      <w:tr w:rsidR="00AC2835" w:rsidTr="00A07D2C">
        <w:tc>
          <w:tcPr>
            <w:tcW w:w="491" w:type="pct"/>
          </w:tcPr>
          <w:p w:rsidR="00AC2835" w:rsidRDefault="00A07D2C" w:rsidP="00A07D2C">
            <w:pPr>
              <w:jc w:val="center"/>
              <w:rPr>
                <w:lang w:val="es-ES"/>
              </w:rPr>
            </w:pPr>
            <w:r>
              <w:rPr>
                <w:lang w:val="es-ES"/>
              </w:rPr>
              <w:t>2</w:t>
            </w:r>
          </w:p>
        </w:tc>
        <w:tc>
          <w:tcPr>
            <w:tcW w:w="592" w:type="pct"/>
          </w:tcPr>
          <w:p w:rsidR="00AC2835" w:rsidRDefault="00A07D2C" w:rsidP="00A07D2C">
            <w:pPr>
              <w:jc w:val="center"/>
              <w:rPr>
                <w:lang w:val="es-ES"/>
              </w:rPr>
            </w:pPr>
            <w:r>
              <w:rPr>
                <w:lang w:val="es-ES"/>
              </w:rPr>
              <w:t>Menor</w:t>
            </w:r>
          </w:p>
        </w:tc>
        <w:tc>
          <w:tcPr>
            <w:tcW w:w="3917" w:type="pct"/>
          </w:tcPr>
          <w:p w:rsidR="00AC2835" w:rsidRDefault="00A07D2C" w:rsidP="00AC2835">
            <w:pPr>
              <w:jc w:val="both"/>
              <w:rPr>
                <w:lang w:val="es-ES"/>
              </w:rPr>
            </w:pPr>
            <w:r w:rsidRPr="00A07D2C">
              <w:rPr>
                <w:b/>
                <w:bCs/>
                <w:lang w:val="es-ES"/>
              </w:rPr>
              <w:t>Impacto leve en la institución</w:t>
            </w:r>
            <w:r>
              <w:rPr>
                <w:lang w:val="es-ES"/>
              </w:rPr>
              <w:t>. Daños localizados. Incidente reportable a la alta dirección. Afectación menor a la conformidad de productos y servicios. Algunos problemas de insatisfacción del personal o el cliente. Pérdida financiera de $X a $X.</w:t>
            </w:r>
          </w:p>
        </w:tc>
      </w:tr>
      <w:tr w:rsidR="00AC2835" w:rsidTr="00A07D2C">
        <w:tc>
          <w:tcPr>
            <w:tcW w:w="491" w:type="pct"/>
          </w:tcPr>
          <w:p w:rsidR="00AC2835" w:rsidRDefault="00A07D2C" w:rsidP="00A07D2C">
            <w:pPr>
              <w:jc w:val="center"/>
              <w:rPr>
                <w:lang w:val="es-ES"/>
              </w:rPr>
            </w:pPr>
            <w:r>
              <w:rPr>
                <w:lang w:val="es-ES"/>
              </w:rPr>
              <w:t>3</w:t>
            </w:r>
          </w:p>
        </w:tc>
        <w:tc>
          <w:tcPr>
            <w:tcW w:w="592" w:type="pct"/>
          </w:tcPr>
          <w:p w:rsidR="00AC2835" w:rsidRDefault="00A07D2C" w:rsidP="00A07D2C">
            <w:pPr>
              <w:jc w:val="center"/>
              <w:rPr>
                <w:lang w:val="es-ES"/>
              </w:rPr>
            </w:pPr>
            <w:r>
              <w:rPr>
                <w:lang w:val="es-ES"/>
              </w:rPr>
              <w:t>Moderado</w:t>
            </w:r>
          </w:p>
        </w:tc>
        <w:tc>
          <w:tcPr>
            <w:tcW w:w="3917" w:type="pct"/>
          </w:tcPr>
          <w:p w:rsidR="00AC2835" w:rsidRDefault="0031629A" w:rsidP="00AC2835">
            <w:pPr>
              <w:jc w:val="both"/>
              <w:rPr>
                <w:lang w:val="es-ES"/>
              </w:rPr>
            </w:pPr>
            <w:r w:rsidRPr="00A2685A">
              <w:rPr>
                <w:b/>
                <w:bCs/>
                <w:lang w:val="es-ES"/>
              </w:rPr>
              <w:t>Impacto limitado en la institución</w:t>
            </w:r>
            <w:r>
              <w:rPr>
                <w:lang w:val="es-ES"/>
              </w:rPr>
              <w:t xml:space="preserve">. Impacto moderado en ciertos recursos. Incidente reportable a la alta dirección con seguimiento. Correcciones en productos o servicios no conformes. Reportable a organismos legales con corrección. Problemas generalizados de insatisfacción del personal o el cliente. </w:t>
            </w:r>
            <w:proofErr w:type="spellStart"/>
            <w:r>
              <w:rPr>
                <w:lang w:val="es-ES"/>
              </w:rPr>
              <w:t>Périda</w:t>
            </w:r>
            <w:proofErr w:type="spellEnd"/>
            <w:r>
              <w:rPr>
                <w:lang w:val="es-ES"/>
              </w:rPr>
              <w:t xml:space="preserve"> financiera de $X a SX.</w:t>
            </w:r>
          </w:p>
        </w:tc>
      </w:tr>
      <w:tr w:rsidR="00AC2835" w:rsidTr="00A07D2C">
        <w:tc>
          <w:tcPr>
            <w:tcW w:w="491" w:type="pct"/>
          </w:tcPr>
          <w:p w:rsidR="00AC2835" w:rsidRDefault="00A07D2C" w:rsidP="00A07D2C">
            <w:pPr>
              <w:jc w:val="center"/>
              <w:rPr>
                <w:lang w:val="es-ES"/>
              </w:rPr>
            </w:pPr>
            <w:r>
              <w:rPr>
                <w:lang w:val="es-ES"/>
              </w:rPr>
              <w:t>4</w:t>
            </w:r>
          </w:p>
        </w:tc>
        <w:tc>
          <w:tcPr>
            <w:tcW w:w="592" w:type="pct"/>
          </w:tcPr>
          <w:p w:rsidR="00AC2835" w:rsidRDefault="00A07D2C" w:rsidP="00A07D2C">
            <w:pPr>
              <w:jc w:val="center"/>
              <w:rPr>
                <w:lang w:val="es-ES"/>
              </w:rPr>
            </w:pPr>
            <w:r>
              <w:rPr>
                <w:lang w:val="es-ES"/>
              </w:rPr>
              <w:t>Mayor</w:t>
            </w:r>
          </w:p>
        </w:tc>
        <w:tc>
          <w:tcPr>
            <w:tcW w:w="3917" w:type="pct"/>
          </w:tcPr>
          <w:p w:rsidR="00AC2835" w:rsidRDefault="00A2685A" w:rsidP="00AC2835">
            <w:pPr>
              <w:jc w:val="both"/>
              <w:rPr>
                <w:lang w:val="es-ES"/>
              </w:rPr>
            </w:pPr>
            <w:r w:rsidRPr="0028490C">
              <w:rPr>
                <w:b/>
                <w:bCs/>
                <w:lang w:val="es-ES"/>
              </w:rPr>
              <w:t>Impacto serio en la institución</w:t>
            </w:r>
            <w:r>
              <w:rPr>
                <w:lang w:val="es-ES"/>
              </w:rPr>
              <w:t xml:space="preserve">. Impacto serio en los recursos. Significativa pérdida de mercado. Reportable a la alta dirección con seguimiento de su parte y acción correctiva. Correcciones a grupos de productos y servicios no </w:t>
            </w:r>
            <w:r w:rsidR="0028490C">
              <w:rPr>
                <w:lang w:val="es-ES"/>
              </w:rPr>
              <w:t>conformes. Intervención seria de organismos legales. Alta rotación de personal. Pérdida financiera de $X a $X.</w:t>
            </w:r>
          </w:p>
        </w:tc>
      </w:tr>
      <w:tr w:rsidR="00AC2835" w:rsidTr="00A07D2C">
        <w:tc>
          <w:tcPr>
            <w:tcW w:w="491" w:type="pct"/>
          </w:tcPr>
          <w:p w:rsidR="00AC2835" w:rsidRDefault="00A07D2C" w:rsidP="00A07D2C">
            <w:pPr>
              <w:jc w:val="center"/>
              <w:rPr>
                <w:lang w:val="es-ES"/>
              </w:rPr>
            </w:pPr>
            <w:r>
              <w:rPr>
                <w:lang w:val="es-ES"/>
              </w:rPr>
              <w:t>5</w:t>
            </w:r>
          </w:p>
        </w:tc>
        <w:tc>
          <w:tcPr>
            <w:tcW w:w="592" w:type="pct"/>
          </w:tcPr>
          <w:p w:rsidR="00AC2835" w:rsidRDefault="00A07D2C" w:rsidP="00A07D2C">
            <w:pPr>
              <w:jc w:val="center"/>
              <w:rPr>
                <w:lang w:val="es-ES"/>
              </w:rPr>
            </w:pPr>
            <w:r>
              <w:rPr>
                <w:lang w:val="es-ES"/>
              </w:rPr>
              <w:t>Extremo</w:t>
            </w:r>
          </w:p>
        </w:tc>
        <w:tc>
          <w:tcPr>
            <w:tcW w:w="3917" w:type="pct"/>
          </w:tcPr>
          <w:p w:rsidR="00AC2835" w:rsidRDefault="0028490C" w:rsidP="00AC2835">
            <w:pPr>
              <w:jc w:val="both"/>
              <w:rPr>
                <w:lang w:val="es-ES"/>
              </w:rPr>
            </w:pPr>
            <w:r w:rsidRPr="003C4AB0">
              <w:rPr>
                <w:b/>
                <w:bCs/>
                <w:lang w:val="es-ES"/>
              </w:rPr>
              <w:t>Impacto des</w:t>
            </w:r>
            <w:r w:rsidR="003C4AB0" w:rsidRPr="003C4AB0">
              <w:rPr>
                <w:b/>
                <w:bCs/>
                <w:lang w:val="es-ES"/>
              </w:rPr>
              <w:t>a</w:t>
            </w:r>
            <w:r w:rsidRPr="003C4AB0">
              <w:rPr>
                <w:b/>
                <w:bCs/>
                <w:lang w:val="es-ES"/>
              </w:rPr>
              <w:t>stroso en la institución</w:t>
            </w:r>
            <w:r>
              <w:rPr>
                <w:lang w:val="es-ES"/>
              </w:rPr>
              <w:t>. Daños mayores en gran cantidad de recursos. Dramática pérdida de mercado. Serios problemas legales (litigaciones, multas, cierre). Daños irreparables en la satisfacción de clientes y empleados. Cierre potencial del negocio. Pérdidas financieras de $X o más.</w:t>
            </w:r>
          </w:p>
        </w:tc>
      </w:tr>
    </w:tbl>
    <w:p w:rsidR="00AC2835" w:rsidRDefault="00AC2835" w:rsidP="00AC2835">
      <w:pPr>
        <w:jc w:val="both"/>
        <w:rPr>
          <w:lang w:val="es-ES"/>
        </w:rPr>
      </w:pPr>
    </w:p>
    <w:p w:rsidR="0028490C" w:rsidRDefault="0028490C" w:rsidP="00AC2835">
      <w:pPr>
        <w:jc w:val="both"/>
        <w:rPr>
          <w:lang w:val="es-ES"/>
        </w:rPr>
      </w:pPr>
      <w:r>
        <w:rPr>
          <w:lang w:val="es-ES"/>
        </w:rPr>
        <w:t>Nota: Asignar calificación para los criterios de consecuencias más altos previstos.</w:t>
      </w:r>
    </w:p>
    <w:p w:rsidR="003C4AB0" w:rsidRDefault="003C4AB0" w:rsidP="00AC2835">
      <w:pPr>
        <w:jc w:val="both"/>
        <w:rPr>
          <w:lang w:val="es-ES"/>
        </w:rPr>
      </w:pPr>
    </w:p>
    <w:p w:rsidR="003C4AB0" w:rsidRDefault="003C4AB0" w:rsidP="00AC2835">
      <w:pPr>
        <w:jc w:val="both"/>
        <w:rPr>
          <w:b/>
          <w:bCs/>
          <w:lang w:val="es-ES"/>
        </w:rPr>
      </w:pPr>
      <w:r w:rsidRPr="003C4AB0">
        <w:rPr>
          <w:b/>
          <w:bCs/>
          <w:lang w:val="es-ES"/>
        </w:rPr>
        <w:t xml:space="preserve">2. Identificación de los riesgos evaluados, acciones de mitigación y oportunidades de mejora de los riesgos. </w:t>
      </w:r>
    </w:p>
    <w:p w:rsidR="003C4AB0" w:rsidRDefault="003C4AB0" w:rsidP="00AC2835">
      <w:pPr>
        <w:jc w:val="both"/>
        <w:rPr>
          <w:b/>
          <w:bCs/>
          <w:lang w:val="es-ES"/>
        </w:rPr>
      </w:pPr>
    </w:p>
    <w:p w:rsidR="003C4AB0" w:rsidRDefault="003C4AB0" w:rsidP="00AC2835">
      <w:pPr>
        <w:jc w:val="both"/>
        <w:rPr>
          <w:lang w:val="es-ES"/>
        </w:rPr>
      </w:pPr>
      <w:r w:rsidRPr="003C4AB0">
        <w:rPr>
          <w:b/>
          <w:bCs/>
          <w:lang w:val="es-ES"/>
        </w:rPr>
        <w:t>Valoración de la probabilidad del riesgo.</w:t>
      </w:r>
      <w:r>
        <w:rPr>
          <w:lang w:val="es-ES"/>
        </w:rPr>
        <w:t xml:space="preserve"> (Tome en cuenta los plazos)</w:t>
      </w:r>
    </w:p>
    <w:tbl>
      <w:tblPr>
        <w:tblStyle w:val="Tablaconcuadrcula"/>
        <w:tblW w:w="0" w:type="auto"/>
        <w:tblLook w:val="04A0" w:firstRow="1" w:lastRow="0" w:firstColumn="1" w:lastColumn="0" w:noHBand="0" w:noVBand="1"/>
      </w:tblPr>
      <w:tblGrid>
        <w:gridCol w:w="1696"/>
        <w:gridCol w:w="1985"/>
        <w:gridCol w:w="5245"/>
      </w:tblGrid>
      <w:tr w:rsidR="003C4AB0" w:rsidRPr="003C4AB0" w:rsidTr="003C4AB0">
        <w:trPr>
          <w:trHeight w:val="506"/>
        </w:trPr>
        <w:tc>
          <w:tcPr>
            <w:tcW w:w="1696" w:type="dxa"/>
            <w:shd w:val="clear" w:color="auto" w:fill="D9D9D9" w:themeFill="background1" w:themeFillShade="D9"/>
            <w:vAlign w:val="center"/>
          </w:tcPr>
          <w:p w:rsidR="003C4AB0" w:rsidRPr="003C4AB0" w:rsidRDefault="003C4AB0" w:rsidP="003C4AB0">
            <w:pPr>
              <w:jc w:val="center"/>
              <w:rPr>
                <w:b/>
                <w:bCs/>
                <w:lang w:val="es-ES"/>
              </w:rPr>
            </w:pPr>
            <w:r w:rsidRPr="003C4AB0">
              <w:rPr>
                <w:b/>
                <w:bCs/>
                <w:lang w:val="es-ES"/>
              </w:rPr>
              <w:t>Valoración</w:t>
            </w:r>
          </w:p>
        </w:tc>
        <w:tc>
          <w:tcPr>
            <w:tcW w:w="1985" w:type="dxa"/>
            <w:shd w:val="clear" w:color="auto" w:fill="D9D9D9" w:themeFill="background1" w:themeFillShade="D9"/>
            <w:vAlign w:val="center"/>
          </w:tcPr>
          <w:p w:rsidR="003C4AB0" w:rsidRPr="003C4AB0" w:rsidRDefault="003C4AB0" w:rsidP="003C4AB0">
            <w:pPr>
              <w:jc w:val="center"/>
              <w:rPr>
                <w:b/>
                <w:bCs/>
                <w:lang w:val="es-ES"/>
              </w:rPr>
            </w:pPr>
            <w:r w:rsidRPr="003C4AB0">
              <w:rPr>
                <w:b/>
                <w:bCs/>
                <w:lang w:val="es-ES"/>
              </w:rPr>
              <w:t>Probabilidad</w:t>
            </w:r>
          </w:p>
        </w:tc>
        <w:tc>
          <w:tcPr>
            <w:tcW w:w="5245" w:type="dxa"/>
            <w:shd w:val="clear" w:color="auto" w:fill="D9D9D9" w:themeFill="background1" w:themeFillShade="D9"/>
            <w:vAlign w:val="center"/>
          </w:tcPr>
          <w:p w:rsidR="003C4AB0" w:rsidRPr="003C4AB0" w:rsidRDefault="003C4AB0" w:rsidP="003C4AB0">
            <w:pPr>
              <w:rPr>
                <w:b/>
                <w:bCs/>
                <w:lang w:val="es-ES"/>
              </w:rPr>
            </w:pPr>
            <w:r w:rsidRPr="003C4AB0">
              <w:rPr>
                <w:b/>
                <w:bCs/>
                <w:lang w:val="es-ES"/>
              </w:rPr>
              <w:t>Criterios (probabilidad de ocurrencia de riesgo)</w:t>
            </w:r>
          </w:p>
        </w:tc>
      </w:tr>
      <w:tr w:rsidR="003C4AB0" w:rsidTr="003C4AB0">
        <w:trPr>
          <w:trHeight w:val="506"/>
        </w:trPr>
        <w:tc>
          <w:tcPr>
            <w:tcW w:w="1696" w:type="dxa"/>
            <w:vAlign w:val="center"/>
          </w:tcPr>
          <w:p w:rsidR="003C4AB0" w:rsidRDefault="003C4AB0" w:rsidP="003C4AB0">
            <w:pPr>
              <w:jc w:val="center"/>
              <w:rPr>
                <w:lang w:val="es-ES"/>
              </w:rPr>
            </w:pPr>
            <w:r>
              <w:rPr>
                <w:lang w:val="es-ES"/>
              </w:rPr>
              <w:t>1</w:t>
            </w:r>
          </w:p>
        </w:tc>
        <w:tc>
          <w:tcPr>
            <w:tcW w:w="1985" w:type="dxa"/>
            <w:vAlign w:val="center"/>
          </w:tcPr>
          <w:p w:rsidR="003C4AB0" w:rsidRDefault="003C4AB0" w:rsidP="003C4AB0">
            <w:pPr>
              <w:jc w:val="center"/>
              <w:rPr>
                <w:lang w:val="es-ES"/>
              </w:rPr>
            </w:pPr>
            <w:r>
              <w:rPr>
                <w:lang w:val="es-ES"/>
              </w:rPr>
              <w:t>Rara</w:t>
            </w:r>
          </w:p>
        </w:tc>
        <w:tc>
          <w:tcPr>
            <w:tcW w:w="5245" w:type="dxa"/>
            <w:vAlign w:val="center"/>
          </w:tcPr>
          <w:p w:rsidR="003C4AB0" w:rsidRDefault="003C4AB0" w:rsidP="003C4AB0">
            <w:pPr>
              <w:rPr>
                <w:lang w:val="es-ES"/>
              </w:rPr>
            </w:pPr>
            <w:r>
              <w:rPr>
                <w:lang w:val="es-ES"/>
              </w:rPr>
              <w:t>Poco probable que ocurra, pero posible</w:t>
            </w:r>
          </w:p>
        </w:tc>
      </w:tr>
      <w:tr w:rsidR="003C4AB0" w:rsidTr="003C4AB0">
        <w:trPr>
          <w:trHeight w:val="532"/>
        </w:trPr>
        <w:tc>
          <w:tcPr>
            <w:tcW w:w="1696" w:type="dxa"/>
            <w:vAlign w:val="center"/>
          </w:tcPr>
          <w:p w:rsidR="003C4AB0" w:rsidRDefault="003C4AB0" w:rsidP="003C4AB0">
            <w:pPr>
              <w:jc w:val="center"/>
              <w:rPr>
                <w:lang w:val="es-ES"/>
              </w:rPr>
            </w:pPr>
            <w:r>
              <w:rPr>
                <w:lang w:val="es-ES"/>
              </w:rPr>
              <w:t>2</w:t>
            </w:r>
          </w:p>
        </w:tc>
        <w:tc>
          <w:tcPr>
            <w:tcW w:w="1985" w:type="dxa"/>
            <w:vAlign w:val="center"/>
          </w:tcPr>
          <w:p w:rsidR="003C4AB0" w:rsidRDefault="003C4AB0" w:rsidP="003C4AB0">
            <w:pPr>
              <w:jc w:val="center"/>
              <w:rPr>
                <w:lang w:val="es-ES"/>
              </w:rPr>
            </w:pPr>
            <w:r>
              <w:rPr>
                <w:lang w:val="es-ES"/>
              </w:rPr>
              <w:t>Improbable</w:t>
            </w:r>
          </w:p>
        </w:tc>
        <w:tc>
          <w:tcPr>
            <w:tcW w:w="5245" w:type="dxa"/>
            <w:vAlign w:val="center"/>
          </w:tcPr>
          <w:p w:rsidR="003C4AB0" w:rsidRDefault="003C4AB0" w:rsidP="003C4AB0">
            <w:pPr>
              <w:rPr>
                <w:lang w:val="es-ES"/>
              </w:rPr>
            </w:pPr>
            <w:r>
              <w:rPr>
                <w:lang w:val="es-ES"/>
              </w:rPr>
              <w:t>Improbable, pero puede que se produzca</w:t>
            </w:r>
          </w:p>
        </w:tc>
      </w:tr>
      <w:tr w:rsidR="003C4AB0" w:rsidTr="003C4AB0">
        <w:trPr>
          <w:trHeight w:val="506"/>
        </w:trPr>
        <w:tc>
          <w:tcPr>
            <w:tcW w:w="1696" w:type="dxa"/>
            <w:vAlign w:val="center"/>
          </w:tcPr>
          <w:p w:rsidR="003C4AB0" w:rsidRDefault="003C4AB0" w:rsidP="003C4AB0">
            <w:pPr>
              <w:jc w:val="center"/>
              <w:rPr>
                <w:lang w:val="es-ES"/>
              </w:rPr>
            </w:pPr>
            <w:r>
              <w:rPr>
                <w:lang w:val="es-ES"/>
              </w:rPr>
              <w:t>3</w:t>
            </w:r>
          </w:p>
        </w:tc>
        <w:tc>
          <w:tcPr>
            <w:tcW w:w="1985" w:type="dxa"/>
            <w:vAlign w:val="center"/>
          </w:tcPr>
          <w:p w:rsidR="003C4AB0" w:rsidRDefault="003C4AB0" w:rsidP="003C4AB0">
            <w:pPr>
              <w:jc w:val="center"/>
              <w:rPr>
                <w:lang w:val="es-ES"/>
              </w:rPr>
            </w:pPr>
            <w:r>
              <w:rPr>
                <w:lang w:val="es-ES"/>
              </w:rPr>
              <w:t>Posible</w:t>
            </w:r>
          </w:p>
        </w:tc>
        <w:tc>
          <w:tcPr>
            <w:tcW w:w="5245" w:type="dxa"/>
            <w:vAlign w:val="center"/>
          </w:tcPr>
          <w:p w:rsidR="003C4AB0" w:rsidRDefault="003C4AB0" w:rsidP="003C4AB0">
            <w:pPr>
              <w:rPr>
                <w:lang w:val="es-ES"/>
              </w:rPr>
            </w:pPr>
            <w:r>
              <w:rPr>
                <w:lang w:val="es-ES"/>
              </w:rPr>
              <w:t>Ocurrirá varias veces</w:t>
            </w:r>
          </w:p>
        </w:tc>
      </w:tr>
      <w:tr w:rsidR="003C4AB0" w:rsidTr="003C4AB0">
        <w:trPr>
          <w:trHeight w:val="506"/>
        </w:trPr>
        <w:tc>
          <w:tcPr>
            <w:tcW w:w="1696" w:type="dxa"/>
            <w:vAlign w:val="center"/>
          </w:tcPr>
          <w:p w:rsidR="003C4AB0" w:rsidRDefault="003C4AB0" w:rsidP="003C4AB0">
            <w:pPr>
              <w:jc w:val="center"/>
              <w:rPr>
                <w:lang w:val="es-ES"/>
              </w:rPr>
            </w:pPr>
            <w:r>
              <w:rPr>
                <w:lang w:val="es-ES"/>
              </w:rPr>
              <w:t>4</w:t>
            </w:r>
          </w:p>
        </w:tc>
        <w:tc>
          <w:tcPr>
            <w:tcW w:w="1985" w:type="dxa"/>
            <w:vAlign w:val="center"/>
          </w:tcPr>
          <w:p w:rsidR="003C4AB0" w:rsidRDefault="003C4AB0" w:rsidP="003C4AB0">
            <w:pPr>
              <w:jc w:val="center"/>
              <w:rPr>
                <w:lang w:val="es-ES"/>
              </w:rPr>
            </w:pPr>
            <w:r>
              <w:rPr>
                <w:lang w:val="es-ES"/>
              </w:rPr>
              <w:t>Probable</w:t>
            </w:r>
          </w:p>
        </w:tc>
        <w:tc>
          <w:tcPr>
            <w:tcW w:w="5245" w:type="dxa"/>
            <w:vAlign w:val="center"/>
          </w:tcPr>
          <w:p w:rsidR="003C4AB0" w:rsidRDefault="003C4AB0" w:rsidP="003C4AB0">
            <w:pPr>
              <w:rPr>
                <w:lang w:val="es-ES"/>
              </w:rPr>
            </w:pPr>
            <w:r>
              <w:rPr>
                <w:lang w:val="es-ES"/>
              </w:rPr>
              <w:t>Ocurrirá con frecuencia</w:t>
            </w:r>
          </w:p>
        </w:tc>
      </w:tr>
      <w:tr w:rsidR="003C4AB0" w:rsidTr="003C4AB0">
        <w:trPr>
          <w:trHeight w:val="506"/>
        </w:trPr>
        <w:tc>
          <w:tcPr>
            <w:tcW w:w="1696" w:type="dxa"/>
            <w:vAlign w:val="center"/>
          </w:tcPr>
          <w:p w:rsidR="003C4AB0" w:rsidRDefault="003C4AB0" w:rsidP="003C4AB0">
            <w:pPr>
              <w:jc w:val="center"/>
              <w:rPr>
                <w:lang w:val="es-ES"/>
              </w:rPr>
            </w:pPr>
            <w:r>
              <w:rPr>
                <w:lang w:val="es-ES"/>
              </w:rPr>
              <w:t>5</w:t>
            </w:r>
          </w:p>
        </w:tc>
        <w:tc>
          <w:tcPr>
            <w:tcW w:w="1985" w:type="dxa"/>
            <w:vAlign w:val="center"/>
          </w:tcPr>
          <w:p w:rsidR="003C4AB0" w:rsidRDefault="003C4AB0" w:rsidP="003C4AB0">
            <w:pPr>
              <w:jc w:val="center"/>
              <w:rPr>
                <w:lang w:val="es-ES"/>
              </w:rPr>
            </w:pPr>
            <w:r>
              <w:rPr>
                <w:lang w:val="es-ES"/>
              </w:rPr>
              <w:t>Casi seguro</w:t>
            </w:r>
          </w:p>
        </w:tc>
        <w:tc>
          <w:tcPr>
            <w:tcW w:w="5245" w:type="dxa"/>
            <w:vAlign w:val="center"/>
          </w:tcPr>
          <w:p w:rsidR="003C4AB0" w:rsidRDefault="003C4AB0" w:rsidP="003C4AB0">
            <w:pPr>
              <w:rPr>
                <w:lang w:val="es-ES"/>
              </w:rPr>
            </w:pPr>
            <w:r>
              <w:rPr>
                <w:lang w:val="es-ES"/>
              </w:rPr>
              <w:t>Continuamente con experiencia</w:t>
            </w:r>
          </w:p>
        </w:tc>
      </w:tr>
    </w:tbl>
    <w:p w:rsidR="003C4AB0" w:rsidRDefault="003C4AB0" w:rsidP="00AC2835">
      <w:pPr>
        <w:jc w:val="both"/>
        <w:rPr>
          <w:lang w:val="es-ES"/>
        </w:rPr>
      </w:pPr>
    </w:p>
    <w:p w:rsidR="003C4AB0" w:rsidRPr="003C4AB0" w:rsidRDefault="003C4AB0" w:rsidP="00AC2835">
      <w:pPr>
        <w:jc w:val="both"/>
        <w:rPr>
          <w:b/>
          <w:bCs/>
          <w:lang w:val="es-ES"/>
        </w:rPr>
      </w:pPr>
      <w:r w:rsidRPr="003C4AB0">
        <w:rPr>
          <w:b/>
          <w:bCs/>
          <w:lang w:val="es-ES"/>
        </w:rPr>
        <w:t>Tipo de medidas de mitigación.</w:t>
      </w:r>
    </w:p>
    <w:tbl>
      <w:tblPr>
        <w:tblStyle w:val="Tablaconcuadrcula"/>
        <w:tblW w:w="0" w:type="auto"/>
        <w:tblLook w:val="04A0" w:firstRow="1" w:lastRow="0" w:firstColumn="1" w:lastColumn="0" w:noHBand="0" w:noVBand="1"/>
      </w:tblPr>
      <w:tblGrid>
        <w:gridCol w:w="1696"/>
        <w:gridCol w:w="1985"/>
        <w:gridCol w:w="5245"/>
      </w:tblGrid>
      <w:tr w:rsidR="003C4AB0" w:rsidRPr="003C4AB0" w:rsidTr="00C147DC">
        <w:trPr>
          <w:trHeight w:val="506"/>
        </w:trPr>
        <w:tc>
          <w:tcPr>
            <w:tcW w:w="1696" w:type="dxa"/>
            <w:shd w:val="clear" w:color="auto" w:fill="D9D9D9" w:themeFill="background1" w:themeFillShade="D9"/>
            <w:vAlign w:val="center"/>
          </w:tcPr>
          <w:p w:rsidR="003C4AB0" w:rsidRPr="003C4AB0" w:rsidRDefault="003C4AB0" w:rsidP="00C147DC">
            <w:pPr>
              <w:jc w:val="center"/>
              <w:rPr>
                <w:b/>
                <w:bCs/>
                <w:lang w:val="es-ES"/>
              </w:rPr>
            </w:pPr>
            <w:r>
              <w:rPr>
                <w:b/>
                <w:bCs/>
                <w:lang w:val="es-ES"/>
              </w:rPr>
              <w:t>Tipo</w:t>
            </w:r>
          </w:p>
        </w:tc>
        <w:tc>
          <w:tcPr>
            <w:tcW w:w="1985" w:type="dxa"/>
            <w:shd w:val="clear" w:color="auto" w:fill="D9D9D9" w:themeFill="background1" w:themeFillShade="D9"/>
            <w:vAlign w:val="center"/>
          </w:tcPr>
          <w:p w:rsidR="003C4AB0" w:rsidRPr="003C4AB0" w:rsidRDefault="003C4AB0" w:rsidP="00C147DC">
            <w:pPr>
              <w:jc w:val="center"/>
              <w:rPr>
                <w:b/>
                <w:bCs/>
                <w:lang w:val="es-ES"/>
              </w:rPr>
            </w:pPr>
            <w:r>
              <w:rPr>
                <w:b/>
                <w:bCs/>
                <w:lang w:val="es-ES"/>
              </w:rPr>
              <w:t>Opción</w:t>
            </w:r>
          </w:p>
        </w:tc>
        <w:tc>
          <w:tcPr>
            <w:tcW w:w="5245" w:type="dxa"/>
            <w:shd w:val="clear" w:color="auto" w:fill="D9D9D9" w:themeFill="background1" w:themeFillShade="D9"/>
            <w:vAlign w:val="center"/>
          </w:tcPr>
          <w:p w:rsidR="003C4AB0" w:rsidRPr="003C4AB0" w:rsidRDefault="003C4AB0" w:rsidP="00C147DC">
            <w:pPr>
              <w:rPr>
                <w:b/>
                <w:bCs/>
                <w:lang w:val="es-ES"/>
              </w:rPr>
            </w:pPr>
            <w:r>
              <w:rPr>
                <w:b/>
                <w:bCs/>
                <w:lang w:val="es-ES"/>
              </w:rPr>
              <w:t>Descripción</w:t>
            </w:r>
          </w:p>
        </w:tc>
      </w:tr>
      <w:tr w:rsidR="003C4AB0" w:rsidTr="00C147DC">
        <w:trPr>
          <w:trHeight w:val="506"/>
        </w:trPr>
        <w:tc>
          <w:tcPr>
            <w:tcW w:w="1696" w:type="dxa"/>
            <w:vAlign w:val="center"/>
          </w:tcPr>
          <w:p w:rsidR="003C4AB0" w:rsidRDefault="003C4AB0" w:rsidP="00C147DC">
            <w:pPr>
              <w:jc w:val="center"/>
              <w:rPr>
                <w:lang w:val="es-ES"/>
              </w:rPr>
            </w:pPr>
            <w:r>
              <w:rPr>
                <w:lang w:val="es-ES"/>
              </w:rPr>
              <w:t>1</w:t>
            </w:r>
          </w:p>
        </w:tc>
        <w:tc>
          <w:tcPr>
            <w:tcW w:w="1985" w:type="dxa"/>
            <w:vAlign w:val="center"/>
          </w:tcPr>
          <w:p w:rsidR="003C4AB0" w:rsidRDefault="002B56A9" w:rsidP="00C147DC">
            <w:pPr>
              <w:jc w:val="center"/>
              <w:rPr>
                <w:lang w:val="es-ES"/>
              </w:rPr>
            </w:pPr>
            <w:r>
              <w:rPr>
                <w:lang w:val="es-ES"/>
              </w:rPr>
              <w:t>Evitar</w:t>
            </w:r>
          </w:p>
        </w:tc>
        <w:tc>
          <w:tcPr>
            <w:tcW w:w="5245" w:type="dxa"/>
            <w:vAlign w:val="center"/>
          </w:tcPr>
          <w:p w:rsidR="003C4AB0" w:rsidRDefault="002B56A9" w:rsidP="00C147DC">
            <w:pPr>
              <w:rPr>
                <w:lang w:val="es-ES"/>
              </w:rPr>
            </w:pPr>
            <w:r>
              <w:rPr>
                <w:lang w:val="es-ES"/>
              </w:rPr>
              <w:t>Retirarse de la actividad</w:t>
            </w:r>
          </w:p>
        </w:tc>
      </w:tr>
      <w:tr w:rsidR="003C4AB0" w:rsidTr="00C147DC">
        <w:trPr>
          <w:trHeight w:val="532"/>
        </w:trPr>
        <w:tc>
          <w:tcPr>
            <w:tcW w:w="1696" w:type="dxa"/>
            <w:vAlign w:val="center"/>
          </w:tcPr>
          <w:p w:rsidR="003C4AB0" w:rsidRDefault="003C4AB0" w:rsidP="00C147DC">
            <w:pPr>
              <w:jc w:val="center"/>
              <w:rPr>
                <w:lang w:val="es-ES"/>
              </w:rPr>
            </w:pPr>
            <w:r>
              <w:rPr>
                <w:lang w:val="es-ES"/>
              </w:rPr>
              <w:t>2</w:t>
            </w:r>
          </w:p>
        </w:tc>
        <w:tc>
          <w:tcPr>
            <w:tcW w:w="1985" w:type="dxa"/>
            <w:vAlign w:val="center"/>
          </w:tcPr>
          <w:p w:rsidR="003C4AB0" w:rsidRDefault="002B56A9" w:rsidP="00C147DC">
            <w:pPr>
              <w:jc w:val="center"/>
              <w:rPr>
                <w:lang w:val="es-ES"/>
              </w:rPr>
            </w:pPr>
            <w:r>
              <w:rPr>
                <w:lang w:val="es-ES"/>
              </w:rPr>
              <w:t>Eliminar</w:t>
            </w:r>
          </w:p>
        </w:tc>
        <w:tc>
          <w:tcPr>
            <w:tcW w:w="5245" w:type="dxa"/>
            <w:vAlign w:val="center"/>
          </w:tcPr>
          <w:p w:rsidR="003C4AB0" w:rsidRDefault="002B56A9" w:rsidP="00C147DC">
            <w:pPr>
              <w:rPr>
                <w:lang w:val="es-ES"/>
              </w:rPr>
            </w:pPr>
            <w:r>
              <w:rPr>
                <w:lang w:val="es-ES"/>
              </w:rPr>
              <w:t>Elimine la fuente del riesgo</w:t>
            </w:r>
          </w:p>
        </w:tc>
      </w:tr>
      <w:tr w:rsidR="003C4AB0" w:rsidTr="00C147DC">
        <w:trPr>
          <w:trHeight w:val="506"/>
        </w:trPr>
        <w:tc>
          <w:tcPr>
            <w:tcW w:w="1696" w:type="dxa"/>
            <w:vAlign w:val="center"/>
          </w:tcPr>
          <w:p w:rsidR="003C4AB0" w:rsidRDefault="003C4AB0" w:rsidP="00C147DC">
            <w:pPr>
              <w:jc w:val="center"/>
              <w:rPr>
                <w:lang w:val="es-ES"/>
              </w:rPr>
            </w:pPr>
            <w:r>
              <w:rPr>
                <w:lang w:val="es-ES"/>
              </w:rPr>
              <w:t>3</w:t>
            </w:r>
          </w:p>
        </w:tc>
        <w:tc>
          <w:tcPr>
            <w:tcW w:w="1985" w:type="dxa"/>
            <w:vAlign w:val="center"/>
          </w:tcPr>
          <w:p w:rsidR="003C4AB0" w:rsidRDefault="002B56A9" w:rsidP="00C147DC">
            <w:pPr>
              <w:jc w:val="center"/>
              <w:rPr>
                <w:lang w:val="es-ES"/>
              </w:rPr>
            </w:pPr>
            <w:r>
              <w:rPr>
                <w:lang w:val="es-ES"/>
              </w:rPr>
              <w:t>Cambiar</w:t>
            </w:r>
          </w:p>
        </w:tc>
        <w:tc>
          <w:tcPr>
            <w:tcW w:w="5245" w:type="dxa"/>
            <w:vAlign w:val="center"/>
          </w:tcPr>
          <w:p w:rsidR="003C4AB0" w:rsidRDefault="002B56A9" w:rsidP="00C147DC">
            <w:pPr>
              <w:rPr>
                <w:lang w:val="es-ES"/>
              </w:rPr>
            </w:pPr>
            <w:r>
              <w:rPr>
                <w:lang w:val="es-ES"/>
              </w:rPr>
              <w:t>Cambio de probabilidad o consecuencia</w:t>
            </w:r>
          </w:p>
        </w:tc>
      </w:tr>
      <w:tr w:rsidR="003C4AB0" w:rsidTr="00C147DC">
        <w:trPr>
          <w:trHeight w:val="506"/>
        </w:trPr>
        <w:tc>
          <w:tcPr>
            <w:tcW w:w="1696" w:type="dxa"/>
            <w:vAlign w:val="center"/>
          </w:tcPr>
          <w:p w:rsidR="003C4AB0" w:rsidRDefault="003C4AB0" w:rsidP="00C147DC">
            <w:pPr>
              <w:jc w:val="center"/>
              <w:rPr>
                <w:lang w:val="es-ES"/>
              </w:rPr>
            </w:pPr>
            <w:r>
              <w:rPr>
                <w:lang w:val="es-ES"/>
              </w:rPr>
              <w:lastRenderedPageBreak/>
              <w:t>4</w:t>
            </w:r>
          </w:p>
        </w:tc>
        <w:tc>
          <w:tcPr>
            <w:tcW w:w="1985" w:type="dxa"/>
            <w:vAlign w:val="center"/>
          </w:tcPr>
          <w:p w:rsidR="003C4AB0" w:rsidRDefault="002B56A9" w:rsidP="00C147DC">
            <w:pPr>
              <w:jc w:val="center"/>
              <w:rPr>
                <w:lang w:val="es-ES"/>
              </w:rPr>
            </w:pPr>
            <w:r>
              <w:rPr>
                <w:lang w:val="es-ES"/>
              </w:rPr>
              <w:t>Compartir</w:t>
            </w:r>
          </w:p>
        </w:tc>
        <w:tc>
          <w:tcPr>
            <w:tcW w:w="5245" w:type="dxa"/>
            <w:vAlign w:val="center"/>
          </w:tcPr>
          <w:p w:rsidR="003C4AB0" w:rsidRDefault="002B56A9" w:rsidP="00C147DC">
            <w:pPr>
              <w:rPr>
                <w:lang w:val="es-ES"/>
              </w:rPr>
            </w:pPr>
            <w:r>
              <w:rPr>
                <w:lang w:val="es-ES"/>
              </w:rPr>
              <w:t>Externalizar riesgo o asegurarse contra él</w:t>
            </w:r>
          </w:p>
        </w:tc>
      </w:tr>
      <w:tr w:rsidR="003C4AB0" w:rsidTr="00C147DC">
        <w:trPr>
          <w:trHeight w:val="506"/>
        </w:trPr>
        <w:tc>
          <w:tcPr>
            <w:tcW w:w="1696" w:type="dxa"/>
            <w:vAlign w:val="center"/>
          </w:tcPr>
          <w:p w:rsidR="003C4AB0" w:rsidRDefault="003C4AB0" w:rsidP="00C147DC">
            <w:pPr>
              <w:jc w:val="center"/>
              <w:rPr>
                <w:lang w:val="es-ES"/>
              </w:rPr>
            </w:pPr>
            <w:r>
              <w:rPr>
                <w:lang w:val="es-ES"/>
              </w:rPr>
              <w:t>5</w:t>
            </w:r>
          </w:p>
        </w:tc>
        <w:tc>
          <w:tcPr>
            <w:tcW w:w="1985" w:type="dxa"/>
            <w:vAlign w:val="center"/>
          </w:tcPr>
          <w:p w:rsidR="003C4AB0" w:rsidRDefault="002B56A9" w:rsidP="00C147DC">
            <w:pPr>
              <w:jc w:val="center"/>
              <w:rPr>
                <w:lang w:val="es-ES"/>
              </w:rPr>
            </w:pPr>
            <w:r>
              <w:rPr>
                <w:lang w:val="es-ES"/>
              </w:rPr>
              <w:t>Mantener</w:t>
            </w:r>
          </w:p>
        </w:tc>
        <w:tc>
          <w:tcPr>
            <w:tcW w:w="5245" w:type="dxa"/>
            <w:vAlign w:val="center"/>
          </w:tcPr>
          <w:p w:rsidR="003C4AB0" w:rsidRDefault="002B56A9" w:rsidP="00C147DC">
            <w:pPr>
              <w:rPr>
                <w:lang w:val="es-ES"/>
              </w:rPr>
            </w:pPr>
            <w:r>
              <w:rPr>
                <w:lang w:val="es-ES"/>
              </w:rPr>
              <w:t>Acepta el riesgo, decisión directiva</w:t>
            </w:r>
          </w:p>
        </w:tc>
      </w:tr>
    </w:tbl>
    <w:p w:rsidR="002B56A9" w:rsidRPr="00F52821" w:rsidRDefault="003321A3" w:rsidP="00AC2835">
      <w:pPr>
        <w:jc w:val="both"/>
        <w:rPr>
          <w:b/>
          <w:bCs/>
          <w:lang w:val="es-ES"/>
        </w:rPr>
      </w:pPr>
      <w:r w:rsidRPr="00F52821">
        <w:rPr>
          <w:b/>
          <w:bCs/>
          <w:lang w:val="es-ES"/>
        </w:rPr>
        <w:t>Índice de Riesgo: Bajo (1-8), Medio (9-16), Alto (17-25)</w:t>
      </w:r>
    </w:p>
    <w:p w:rsidR="003C4AB0" w:rsidRDefault="003C4AB0" w:rsidP="00AC2835">
      <w:pPr>
        <w:jc w:val="both"/>
        <w:rPr>
          <w:lang w:val="es-ES"/>
        </w:rPr>
      </w:pPr>
    </w:p>
    <w:tbl>
      <w:tblPr>
        <w:tblStyle w:val="Tablaconcuadrcula"/>
        <w:tblW w:w="0" w:type="auto"/>
        <w:tblLook w:val="04A0" w:firstRow="1" w:lastRow="0" w:firstColumn="1" w:lastColumn="0" w:noHBand="0" w:noVBand="1"/>
      </w:tblPr>
      <w:tblGrid>
        <w:gridCol w:w="1122"/>
        <w:gridCol w:w="1122"/>
        <w:gridCol w:w="1123"/>
        <w:gridCol w:w="1123"/>
        <w:gridCol w:w="1123"/>
        <w:gridCol w:w="1123"/>
        <w:gridCol w:w="1125"/>
      </w:tblGrid>
      <w:tr w:rsidR="003321A3" w:rsidTr="00AC33C4">
        <w:trPr>
          <w:trHeight w:val="335"/>
        </w:trPr>
        <w:tc>
          <w:tcPr>
            <w:tcW w:w="1122" w:type="dxa"/>
            <w:tcBorders>
              <w:top w:val="nil"/>
              <w:left w:val="nil"/>
              <w:bottom w:val="nil"/>
              <w:right w:val="nil"/>
            </w:tcBorders>
            <w:vAlign w:val="center"/>
          </w:tcPr>
          <w:p w:rsidR="003321A3" w:rsidRDefault="003321A3" w:rsidP="003321A3">
            <w:pPr>
              <w:jc w:val="center"/>
              <w:rPr>
                <w:lang w:val="es-ES"/>
              </w:rPr>
            </w:pPr>
          </w:p>
        </w:tc>
        <w:tc>
          <w:tcPr>
            <w:tcW w:w="1122" w:type="dxa"/>
            <w:tcBorders>
              <w:top w:val="nil"/>
              <w:left w:val="nil"/>
              <w:bottom w:val="nil"/>
              <w:right w:val="single" w:sz="4" w:space="0" w:color="auto"/>
            </w:tcBorders>
            <w:vAlign w:val="center"/>
          </w:tcPr>
          <w:p w:rsidR="003321A3" w:rsidRDefault="003321A3" w:rsidP="003321A3">
            <w:pPr>
              <w:jc w:val="center"/>
              <w:rPr>
                <w:lang w:val="es-ES"/>
              </w:rPr>
            </w:pPr>
          </w:p>
        </w:tc>
        <w:tc>
          <w:tcPr>
            <w:tcW w:w="5617" w:type="dxa"/>
            <w:gridSpan w:val="5"/>
            <w:tcBorders>
              <w:left w:val="single" w:sz="4" w:space="0" w:color="auto"/>
            </w:tcBorders>
            <w:vAlign w:val="center"/>
          </w:tcPr>
          <w:p w:rsidR="003321A3" w:rsidRPr="003321A3" w:rsidRDefault="003321A3" w:rsidP="003321A3">
            <w:pPr>
              <w:jc w:val="center"/>
              <w:rPr>
                <w:b/>
                <w:bCs/>
                <w:lang w:val="es-ES"/>
              </w:rPr>
            </w:pPr>
            <w:r w:rsidRPr="003321A3">
              <w:rPr>
                <w:b/>
                <w:bCs/>
                <w:lang w:val="es-ES"/>
              </w:rPr>
              <w:t>Rango de consecuencias</w:t>
            </w:r>
          </w:p>
        </w:tc>
      </w:tr>
      <w:tr w:rsidR="003321A3" w:rsidTr="00AC33C4">
        <w:trPr>
          <w:trHeight w:val="335"/>
        </w:trPr>
        <w:tc>
          <w:tcPr>
            <w:tcW w:w="1122" w:type="dxa"/>
            <w:tcBorders>
              <w:top w:val="nil"/>
              <w:left w:val="nil"/>
              <w:bottom w:val="single" w:sz="4" w:space="0" w:color="auto"/>
              <w:right w:val="nil"/>
            </w:tcBorders>
            <w:vAlign w:val="center"/>
          </w:tcPr>
          <w:p w:rsidR="003321A3" w:rsidRDefault="003321A3" w:rsidP="003321A3">
            <w:pPr>
              <w:jc w:val="center"/>
              <w:rPr>
                <w:lang w:val="es-ES"/>
              </w:rPr>
            </w:pPr>
          </w:p>
        </w:tc>
        <w:tc>
          <w:tcPr>
            <w:tcW w:w="1122" w:type="dxa"/>
            <w:tcBorders>
              <w:top w:val="nil"/>
              <w:left w:val="nil"/>
              <w:bottom w:val="single" w:sz="4" w:space="0" w:color="auto"/>
              <w:right w:val="single" w:sz="4" w:space="0" w:color="auto"/>
            </w:tcBorders>
            <w:vAlign w:val="center"/>
          </w:tcPr>
          <w:p w:rsidR="003321A3" w:rsidRDefault="003321A3" w:rsidP="003321A3">
            <w:pPr>
              <w:jc w:val="center"/>
              <w:rPr>
                <w:lang w:val="es-ES"/>
              </w:rPr>
            </w:pPr>
          </w:p>
        </w:tc>
        <w:tc>
          <w:tcPr>
            <w:tcW w:w="1123" w:type="dxa"/>
            <w:tcBorders>
              <w:left w:val="single" w:sz="4" w:space="0" w:color="auto"/>
            </w:tcBorders>
            <w:vAlign w:val="center"/>
          </w:tcPr>
          <w:p w:rsidR="003321A3" w:rsidRDefault="003321A3" w:rsidP="003321A3">
            <w:pPr>
              <w:jc w:val="center"/>
              <w:rPr>
                <w:lang w:val="es-ES"/>
              </w:rPr>
            </w:pPr>
            <w:r>
              <w:rPr>
                <w:lang w:val="es-ES"/>
              </w:rPr>
              <w:t>1</w:t>
            </w:r>
          </w:p>
        </w:tc>
        <w:tc>
          <w:tcPr>
            <w:tcW w:w="1123" w:type="dxa"/>
            <w:vAlign w:val="center"/>
          </w:tcPr>
          <w:p w:rsidR="003321A3" w:rsidRDefault="003321A3" w:rsidP="003321A3">
            <w:pPr>
              <w:jc w:val="center"/>
              <w:rPr>
                <w:lang w:val="es-ES"/>
              </w:rPr>
            </w:pPr>
            <w:r>
              <w:rPr>
                <w:lang w:val="es-ES"/>
              </w:rPr>
              <w:t>2</w:t>
            </w:r>
          </w:p>
        </w:tc>
        <w:tc>
          <w:tcPr>
            <w:tcW w:w="1123" w:type="dxa"/>
            <w:vAlign w:val="center"/>
          </w:tcPr>
          <w:p w:rsidR="003321A3" w:rsidRDefault="003321A3" w:rsidP="003321A3">
            <w:pPr>
              <w:jc w:val="center"/>
              <w:rPr>
                <w:lang w:val="es-ES"/>
              </w:rPr>
            </w:pPr>
            <w:r>
              <w:rPr>
                <w:lang w:val="es-ES"/>
              </w:rPr>
              <w:t>3</w:t>
            </w:r>
          </w:p>
        </w:tc>
        <w:tc>
          <w:tcPr>
            <w:tcW w:w="1123" w:type="dxa"/>
            <w:vAlign w:val="center"/>
          </w:tcPr>
          <w:p w:rsidR="003321A3" w:rsidRDefault="003321A3" w:rsidP="003321A3">
            <w:pPr>
              <w:jc w:val="center"/>
              <w:rPr>
                <w:lang w:val="es-ES"/>
              </w:rPr>
            </w:pPr>
            <w:r>
              <w:rPr>
                <w:lang w:val="es-ES"/>
              </w:rPr>
              <w:t>4</w:t>
            </w:r>
          </w:p>
        </w:tc>
        <w:tc>
          <w:tcPr>
            <w:tcW w:w="1123" w:type="dxa"/>
            <w:vAlign w:val="center"/>
          </w:tcPr>
          <w:p w:rsidR="003321A3" w:rsidRDefault="003321A3" w:rsidP="003321A3">
            <w:pPr>
              <w:jc w:val="center"/>
              <w:rPr>
                <w:lang w:val="es-ES"/>
              </w:rPr>
            </w:pPr>
            <w:r>
              <w:rPr>
                <w:lang w:val="es-ES"/>
              </w:rPr>
              <w:t>5</w:t>
            </w:r>
          </w:p>
        </w:tc>
      </w:tr>
      <w:tr w:rsidR="003321A3" w:rsidTr="00AC33C4">
        <w:trPr>
          <w:trHeight w:val="353"/>
        </w:trPr>
        <w:tc>
          <w:tcPr>
            <w:tcW w:w="1122" w:type="dxa"/>
            <w:vMerge w:val="restart"/>
            <w:tcBorders>
              <w:top w:val="single" w:sz="4" w:space="0" w:color="auto"/>
            </w:tcBorders>
            <w:textDirection w:val="btLr"/>
            <w:vAlign w:val="center"/>
          </w:tcPr>
          <w:p w:rsidR="003321A3" w:rsidRPr="00F24504" w:rsidRDefault="003321A3" w:rsidP="003321A3">
            <w:pPr>
              <w:ind w:left="113" w:right="113"/>
              <w:jc w:val="center"/>
              <w:rPr>
                <w:b/>
                <w:bCs/>
                <w:lang w:val="es-ES"/>
              </w:rPr>
            </w:pPr>
            <w:r w:rsidRPr="00F24504">
              <w:rPr>
                <w:b/>
                <w:bCs/>
                <w:lang w:val="es-ES"/>
              </w:rPr>
              <w:t>Rango de Probabilidad</w:t>
            </w:r>
          </w:p>
        </w:tc>
        <w:tc>
          <w:tcPr>
            <w:tcW w:w="1122" w:type="dxa"/>
            <w:tcBorders>
              <w:top w:val="single" w:sz="4" w:space="0" w:color="auto"/>
            </w:tcBorders>
            <w:vAlign w:val="center"/>
          </w:tcPr>
          <w:p w:rsidR="003321A3" w:rsidRDefault="003321A3" w:rsidP="003321A3">
            <w:pPr>
              <w:jc w:val="center"/>
              <w:rPr>
                <w:lang w:val="es-ES"/>
              </w:rPr>
            </w:pPr>
            <w:r>
              <w:rPr>
                <w:lang w:val="es-ES"/>
              </w:rPr>
              <w:t>1</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1</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2</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3</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4</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5</w:t>
            </w:r>
          </w:p>
        </w:tc>
      </w:tr>
      <w:tr w:rsidR="003321A3" w:rsidTr="00AC33C4">
        <w:trPr>
          <w:trHeight w:val="335"/>
        </w:trPr>
        <w:tc>
          <w:tcPr>
            <w:tcW w:w="1122" w:type="dxa"/>
            <w:vMerge/>
            <w:vAlign w:val="center"/>
          </w:tcPr>
          <w:p w:rsidR="003321A3" w:rsidRDefault="003321A3" w:rsidP="003321A3">
            <w:pPr>
              <w:jc w:val="center"/>
              <w:rPr>
                <w:lang w:val="es-ES"/>
              </w:rPr>
            </w:pPr>
          </w:p>
        </w:tc>
        <w:tc>
          <w:tcPr>
            <w:tcW w:w="1122" w:type="dxa"/>
            <w:vAlign w:val="center"/>
          </w:tcPr>
          <w:p w:rsidR="003321A3" w:rsidRDefault="003321A3" w:rsidP="003321A3">
            <w:pPr>
              <w:jc w:val="center"/>
              <w:rPr>
                <w:lang w:val="es-ES"/>
              </w:rPr>
            </w:pPr>
            <w:r>
              <w:rPr>
                <w:lang w:val="es-ES"/>
              </w:rPr>
              <w:t>2</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2</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4</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6</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8</w:t>
            </w:r>
          </w:p>
        </w:tc>
        <w:tc>
          <w:tcPr>
            <w:tcW w:w="1123" w:type="dxa"/>
            <w:vAlign w:val="center"/>
          </w:tcPr>
          <w:p w:rsidR="003321A3" w:rsidRDefault="003321A3" w:rsidP="003321A3">
            <w:pPr>
              <w:jc w:val="center"/>
              <w:rPr>
                <w:lang w:val="es-ES"/>
              </w:rPr>
            </w:pPr>
            <w:r>
              <w:rPr>
                <w:lang w:val="es-ES"/>
              </w:rPr>
              <w:t>10</w:t>
            </w:r>
          </w:p>
        </w:tc>
      </w:tr>
      <w:tr w:rsidR="003321A3" w:rsidTr="00AC33C4">
        <w:trPr>
          <w:trHeight w:val="335"/>
        </w:trPr>
        <w:tc>
          <w:tcPr>
            <w:tcW w:w="1122" w:type="dxa"/>
            <w:vMerge/>
            <w:vAlign w:val="center"/>
          </w:tcPr>
          <w:p w:rsidR="003321A3" w:rsidRDefault="003321A3" w:rsidP="003321A3">
            <w:pPr>
              <w:jc w:val="center"/>
              <w:rPr>
                <w:lang w:val="es-ES"/>
              </w:rPr>
            </w:pPr>
          </w:p>
        </w:tc>
        <w:tc>
          <w:tcPr>
            <w:tcW w:w="1122" w:type="dxa"/>
            <w:vAlign w:val="center"/>
          </w:tcPr>
          <w:p w:rsidR="003321A3" w:rsidRDefault="003321A3" w:rsidP="003321A3">
            <w:pPr>
              <w:jc w:val="center"/>
              <w:rPr>
                <w:lang w:val="es-ES"/>
              </w:rPr>
            </w:pPr>
            <w:r>
              <w:rPr>
                <w:lang w:val="es-ES"/>
              </w:rPr>
              <w:t>3</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3</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6</w:t>
            </w:r>
          </w:p>
        </w:tc>
        <w:tc>
          <w:tcPr>
            <w:tcW w:w="1123" w:type="dxa"/>
            <w:vAlign w:val="center"/>
          </w:tcPr>
          <w:p w:rsidR="003321A3" w:rsidRDefault="003321A3" w:rsidP="003321A3">
            <w:pPr>
              <w:jc w:val="center"/>
              <w:rPr>
                <w:lang w:val="es-ES"/>
              </w:rPr>
            </w:pPr>
            <w:r>
              <w:rPr>
                <w:lang w:val="es-ES"/>
              </w:rPr>
              <w:t>9</w:t>
            </w:r>
          </w:p>
        </w:tc>
        <w:tc>
          <w:tcPr>
            <w:tcW w:w="1123" w:type="dxa"/>
            <w:vAlign w:val="center"/>
          </w:tcPr>
          <w:p w:rsidR="003321A3" w:rsidRDefault="003321A3" w:rsidP="003321A3">
            <w:pPr>
              <w:jc w:val="center"/>
              <w:rPr>
                <w:lang w:val="es-ES"/>
              </w:rPr>
            </w:pPr>
            <w:r>
              <w:rPr>
                <w:lang w:val="es-ES"/>
              </w:rPr>
              <w:t>12</w:t>
            </w:r>
          </w:p>
        </w:tc>
        <w:tc>
          <w:tcPr>
            <w:tcW w:w="1123" w:type="dxa"/>
            <w:vAlign w:val="center"/>
          </w:tcPr>
          <w:p w:rsidR="003321A3" w:rsidRDefault="003321A3" w:rsidP="003321A3">
            <w:pPr>
              <w:jc w:val="center"/>
              <w:rPr>
                <w:lang w:val="es-ES"/>
              </w:rPr>
            </w:pPr>
            <w:r>
              <w:rPr>
                <w:lang w:val="es-ES"/>
              </w:rPr>
              <w:t>15</w:t>
            </w:r>
          </w:p>
        </w:tc>
      </w:tr>
      <w:tr w:rsidR="003321A3" w:rsidTr="00AC33C4">
        <w:trPr>
          <w:trHeight w:val="335"/>
        </w:trPr>
        <w:tc>
          <w:tcPr>
            <w:tcW w:w="1122" w:type="dxa"/>
            <w:vMerge/>
            <w:vAlign w:val="center"/>
          </w:tcPr>
          <w:p w:rsidR="003321A3" w:rsidRDefault="003321A3" w:rsidP="003321A3">
            <w:pPr>
              <w:jc w:val="center"/>
              <w:rPr>
                <w:lang w:val="es-ES"/>
              </w:rPr>
            </w:pPr>
          </w:p>
        </w:tc>
        <w:tc>
          <w:tcPr>
            <w:tcW w:w="1122" w:type="dxa"/>
            <w:vAlign w:val="center"/>
          </w:tcPr>
          <w:p w:rsidR="003321A3" w:rsidRDefault="003321A3" w:rsidP="003321A3">
            <w:pPr>
              <w:jc w:val="center"/>
              <w:rPr>
                <w:lang w:val="es-ES"/>
              </w:rPr>
            </w:pPr>
            <w:r>
              <w:rPr>
                <w:lang w:val="es-ES"/>
              </w:rPr>
              <w:t>4</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4</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8</w:t>
            </w:r>
          </w:p>
        </w:tc>
        <w:tc>
          <w:tcPr>
            <w:tcW w:w="1123" w:type="dxa"/>
            <w:vAlign w:val="center"/>
          </w:tcPr>
          <w:p w:rsidR="003321A3" w:rsidRDefault="003321A3" w:rsidP="003321A3">
            <w:pPr>
              <w:jc w:val="center"/>
              <w:rPr>
                <w:lang w:val="es-ES"/>
              </w:rPr>
            </w:pPr>
            <w:r>
              <w:rPr>
                <w:lang w:val="es-ES"/>
              </w:rPr>
              <w:t>12</w:t>
            </w:r>
          </w:p>
        </w:tc>
        <w:tc>
          <w:tcPr>
            <w:tcW w:w="1123" w:type="dxa"/>
            <w:vAlign w:val="center"/>
          </w:tcPr>
          <w:p w:rsidR="003321A3" w:rsidRDefault="003321A3" w:rsidP="003321A3">
            <w:pPr>
              <w:jc w:val="center"/>
              <w:rPr>
                <w:lang w:val="es-ES"/>
              </w:rPr>
            </w:pPr>
            <w:r>
              <w:rPr>
                <w:lang w:val="es-ES"/>
              </w:rPr>
              <w:t>16</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20</w:t>
            </w:r>
          </w:p>
        </w:tc>
      </w:tr>
      <w:tr w:rsidR="003321A3" w:rsidTr="00AC33C4">
        <w:trPr>
          <w:trHeight w:val="335"/>
        </w:trPr>
        <w:tc>
          <w:tcPr>
            <w:tcW w:w="1122" w:type="dxa"/>
            <w:vMerge/>
            <w:vAlign w:val="center"/>
          </w:tcPr>
          <w:p w:rsidR="003321A3" w:rsidRDefault="003321A3" w:rsidP="003321A3">
            <w:pPr>
              <w:jc w:val="center"/>
              <w:rPr>
                <w:lang w:val="es-ES"/>
              </w:rPr>
            </w:pPr>
          </w:p>
        </w:tc>
        <w:tc>
          <w:tcPr>
            <w:tcW w:w="1122" w:type="dxa"/>
            <w:vAlign w:val="center"/>
          </w:tcPr>
          <w:p w:rsidR="003321A3" w:rsidRDefault="003321A3" w:rsidP="003321A3">
            <w:pPr>
              <w:jc w:val="center"/>
              <w:rPr>
                <w:lang w:val="es-ES"/>
              </w:rPr>
            </w:pPr>
            <w:r>
              <w:rPr>
                <w:lang w:val="es-ES"/>
              </w:rPr>
              <w:t>5</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5</w:t>
            </w:r>
          </w:p>
        </w:tc>
        <w:tc>
          <w:tcPr>
            <w:tcW w:w="1123" w:type="dxa"/>
            <w:vAlign w:val="center"/>
          </w:tcPr>
          <w:p w:rsidR="003321A3" w:rsidRDefault="003321A3" w:rsidP="003321A3">
            <w:pPr>
              <w:jc w:val="center"/>
              <w:rPr>
                <w:lang w:val="es-ES"/>
              </w:rPr>
            </w:pPr>
            <w:r>
              <w:rPr>
                <w:lang w:val="es-ES"/>
              </w:rPr>
              <w:t>10</w:t>
            </w:r>
          </w:p>
        </w:tc>
        <w:tc>
          <w:tcPr>
            <w:tcW w:w="1123" w:type="dxa"/>
            <w:vAlign w:val="center"/>
          </w:tcPr>
          <w:p w:rsidR="003321A3" w:rsidRDefault="003321A3" w:rsidP="003321A3">
            <w:pPr>
              <w:jc w:val="center"/>
              <w:rPr>
                <w:lang w:val="es-ES"/>
              </w:rPr>
            </w:pPr>
            <w:r>
              <w:rPr>
                <w:lang w:val="es-ES"/>
              </w:rPr>
              <w:t>15</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20</w:t>
            </w:r>
          </w:p>
        </w:tc>
        <w:tc>
          <w:tcPr>
            <w:tcW w:w="1123" w:type="dxa"/>
            <w:shd w:val="clear" w:color="auto" w:fill="D9D9D9" w:themeFill="background1" w:themeFillShade="D9"/>
            <w:vAlign w:val="center"/>
          </w:tcPr>
          <w:p w:rsidR="003321A3" w:rsidRDefault="003321A3" w:rsidP="003321A3">
            <w:pPr>
              <w:jc w:val="center"/>
              <w:rPr>
                <w:lang w:val="es-ES"/>
              </w:rPr>
            </w:pPr>
            <w:r>
              <w:rPr>
                <w:lang w:val="es-ES"/>
              </w:rPr>
              <w:t>25</w:t>
            </w:r>
          </w:p>
        </w:tc>
      </w:tr>
    </w:tbl>
    <w:p w:rsidR="003321A3" w:rsidRDefault="003321A3" w:rsidP="00AC2835">
      <w:pPr>
        <w:jc w:val="both"/>
        <w:rPr>
          <w:lang w:val="es-ES"/>
        </w:rPr>
      </w:pPr>
    </w:p>
    <w:p w:rsidR="00F52821" w:rsidRPr="008C6F6A" w:rsidRDefault="008C6F6A" w:rsidP="00AC2835">
      <w:pPr>
        <w:jc w:val="both"/>
        <w:rPr>
          <w:b/>
          <w:bCs/>
          <w:lang w:val="es-ES"/>
        </w:rPr>
      </w:pPr>
      <w:r w:rsidRPr="008C6F6A">
        <w:rPr>
          <w:b/>
          <w:bCs/>
          <w:lang w:val="es-ES"/>
        </w:rPr>
        <w:t>3. Flujo de la gestión de riesgos y oportunidades</w:t>
      </w:r>
    </w:p>
    <w:p w:rsidR="008C6F6A" w:rsidRDefault="008C6F6A" w:rsidP="00AC2835">
      <w:pPr>
        <w:jc w:val="both"/>
        <w:rPr>
          <w:lang w:val="es-ES"/>
        </w:rPr>
      </w:pPr>
      <w:r>
        <w:rPr>
          <w:lang w:val="es-ES"/>
        </w:rPr>
        <w:t>1. Entender</w:t>
      </w:r>
      <w:r w:rsidR="004C6697">
        <w:rPr>
          <w:lang w:val="es-ES"/>
        </w:rPr>
        <w:t xml:space="preserve"> a la organización y su contexto. (</w:t>
      </w:r>
      <w:r w:rsidR="00263F5C">
        <w:rPr>
          <w:lang w:val="es-ES"/>
        </w:rPr>
        <w:t>4.1 ISO 9001:2015</w:t>
      </w:r>
      <w:r w:rsidR="004C6697">
        <w:rPr>
          <w:lang w:val="es-ES"/>
        </w:rPr>
        <w:t>)</w:t>
      </w:r>
    </w:p>
    <w:p w:rsidR="00263F5C" w:rsidRDefault="00263F5C" w:rsidP="00AC2835">
      <w:pPr>
        <w:jc w:val="both"/>
        <w:rPr>
          <w:lang w:val="es-ES"/>
        </w:rPr>
      </w:pPr>
      <w:r>
        <w:rPr>
          <w:lang w:val="es-ES"/>
        </w:rPr>
        <w:t>2. Entender las necesidades y expectativas de las partes interesadas. (4.2 ISO 9001:2015)</w:t>
      </w:r>
    </w:p>
    <w:p w:rsidR="00263F5C" w:rsidRDefault="00263F5C" w:rsidP="00AC2835">
      <w:pPr>
        <w:jc w:val="both"/>
        <w:rPr>
          <w:lang w:val="es-ES"/>
        </w:rPr>
      </w:pPr>
      <w:r>
        <w:rPr>
          <w:lang w:val="es-ES"/>
        </w:rPr>
        <w:t>3. Identificar los objetivos relevantes del SIG. (6.2 ISO 9001:2015)</w:t>
      </w:r>
    </w:p>
    <w:p w:rsidR="00263F5C" w:rsidRDefault="00263F5C" w:rsidP="00AC2835">
      <w:pPr>
        <w:jc w:val="both"/>
        <w:rPr>
          <w:lang w:val="es-ES"/>
        </w:rPr>
      </w:pPr>
      <w:r>
        <w:rPr>
          <w:lang w:val="es-ES"/>
        </w:rPr>
        <w:t>4. Identificar los eventos que pudieran afectar a la consecución de los objetivos.</w:t>
      </w:r>
    </w:p>
    <w:p w:rsidR="00263F5C" w:rsidRDefault="00263F5C" w:rsidP="00AC2835">
      <w:pPr>
        <w:jc w:val="both"/>
        <w:rPr>
          <w:lang w:val="es-ES"/>
        </w:rPr>
      </w:pPr>
      <w:r>
        <w:rPr>
          <w:lang w:val="es-ES"/>
        </w:rPr>
        <w:t>5. Determinar la tolerancia al riesgo.</w:t>
      </w:r>
    </w:p>
    <w:p w:rsidR="00263F5C" w:rsidRDefault="00263F5C" w:rsidP="00AC2835">
      <w:pPr>
        <w:jc w:val="both"/>
        <w:rPr>
          <w:lang w:val="es-ES"/>
        </w:rPr>
      </w:pPr>
      <w:r>
        <w:rPr>
          <w:lang w:val="es-ES"/>
        </w:rPr>
        <w:t>6. Evaluar la probabilidad y el impacto de los riesgos inherentes.</w:t>
      </w:r>
    </w:p>
    <w:p w:rsidR="00263F5C" w:rsidRDefault="00FA1FCD" w:rsidP="00AC2835">
      <w:pPr>
        <w:jc w:val="both"/>
        <w:rPr>
          <w:lang w:val="es-ES"/>
        </w:rPr>
      </w:pPr>
      <w:r>
        <w:rPr>
          <w:lang w:val="es-ES"/>
        </w:rPr>
        <w:t>7. Evaluar la cartera de riesgos y determinar las respuestas al riesgo.</w:t>
      </w:r>
    </w:p>
    <w:p w:rsidR="00FA1FCD" w:rsidRDefault="00FA1FCD" w:rsidP="00AC2835">
      <w:pPr>
        <w:jc w:val="both"/>
        <w:rPr>
          <w:lang w:val="es-ES"/>
        </w:rPr>
      </w:pPr>
      <w:r>
        <w:rPr>
          <w:lang w:val="es-ES"/>
        </w:rPr>
        <w:t>8. Evaluar probabilidad y el impacto de los riesgos residuales.</w:t>
      </w:r>
    </w:p>
    <w:p w:rsidR="00263F5C" w:rsidRDefault="00263F5C" w:rsidP="00AC2835">
      <w:pPr>
        <w:jc w:val="both"/>
        <w:rPr>
          <w:lang w:val="es-ES"/>
        </w:rPr>
      </w:pPr>
    </w:p>
    <w:p w:rsidR="00FA1FCD" w:rsidRPr="00FA1FCD" w:rsidRDefault="00FA1FCD" w:rsidP="00AC2835">
      <w:pPr>
        <w:jc w:val="both"/>
        <w:rPr>
          <w:b/>
          <w:bCs/>
          <w:lang w:val="es-ES"/>
        </w:rPr>
      </w:pPr>
      <w:r w:rsidRPr="00FA1FCD">
        <w:rPr>
          <w:b/>
          <w:bCs/>
          <w:lang w:val="es-ES"/>
        </w:rPr>
        <w:t>4. Riesgo inherente, riesgo y oportunidades.</w:t>
      </w:r>
    </w:p>
    <w:p w:rsidR="00FA1FCD" w:rsidRDefault="00FA1FCD" w:rsidP="00AC2835">
      <w:pPr>
        <w:jc w:val="both"/>
        <w:rPr>
          <w:lang w:val="es-ES"/>
        </w:rPr>
      </w:pPr>
      <w:r>
        <w:rPr>
          <w:lang w:val="es-ES"/>
        </w:rPr>
        <w:lastRenderedPageBreak/>
        <w:t>El riesgo inherente es el nivel de riesgo propio de la naturaleza del proceso que no puede ser eliminado.</w:t>
      </w:r>
    </w:p>
    <w:p w:rsidR="00FA1FCD" w:rsidRDefault="00FA1FCD" w:rsidP="00AC2835">
      <w:pPr>
        <w:jc w:val="both"/>
        <w:rPr>
          <w:lang w:val="es-ES"/>
        </w:rPr>
      </w:pPr>
      <w:r>
        <w:rPr>
          <w:lang w:val="es-ES"/>
        </w:rPr>
        <w:t>El riesgo residual es el riesgo estimado después de que las respuestas consideradas se ponen en su lugar.</w:t>
      </w:r>
    </w:p>
    <w:p w:rsidR="00FA1FCD" w:rsidRDefault="00FA1FCD" w:rsidP="00AC2835">
      <w:pPr>
        <w:jc w:val="both"/>
        <w:rPr>
          <w:lang w:val="es-ES"/>
        </w:rPr>
      </w:pPr>
      <w:r>
        <w:rPr>
          <w:lang w:val="es-ES"/>
        </w:rPr>
        <w:t>Los riesgos positivos pueden ser oportunidades.</w:t>
      </w:r>
    </w:p>
    <w:p w:rsidR="00FA1FCD" w:rsidRDefault="00FA1FCD" w:rsidP="00AC2835">
      <w:pPr>
        <w:jc w:val="both"/>
        <w:rPr>
          <w:lang w:val="es-ES"/>
        </w:rPr>
      </w:pPr>
    </w:p>
    <w:p w:rsidR="00FA1FCD" w:rsidRDefault="00FA1FCD" w:rsidP="00AC2835">
      <w:pPr>
        <w:jc w:val="both"/>
        <w:rPr>
          <w:lang w:val="es-ES"/>
        </w:rPr>
      </w:pPr>
    </w:p>
    <w:p w:rsidR="00FA1FCD" w:rsidRPr="004B1C14" w:rsidRDefault="004B1C14" w:rsidP="00AC2835">
      <w:pPr>
        <w:jc w:val="both"/>
        <w:rPr>
          <w:b/>
          <w:bCs/>
          <w:lang w:val="es-ES"/>
        </w:rPr>
      </w:pPr>
      <w:r w:rsidRPr="004B1C14">
        <w:rPr>
          <w:b/>
          <w:bCs/>
          <w:lang w:val="es-ES"/>
        </w:rPr>
        <w:t>5. Oportunidades óptima de la toma de riesgo.</w:t>
      </w:r>
    </w:p>
    <w:p w:rsidR="004B1C14" w:rsidRDefault="004B1C14" w:rsidP="00AC2835">
      <w:pPr>
        <w:jc w:val="both"/>
        <w:rPr>
          <w:lang w:val="es-ES"/>
        </w:rPr>
      </w:pPr>
    </w:p>
    <w:p w:rsidR="004B1C14" w:rsidRDefault="004B1C14" w:rsidP="00AC2835">
      <w:pPr>
        <w:jc w:val="both"/>
        <w:rPr>
          <w:lang w:val="es-ES"/>
        </w:rPr>
      </w:pPr>
      <w:r>
        <w:rPr>
          <w:lang w:val="es-ES"/>
        </w:rPr>
        <w:t>Las organizaciones persiguen el valor, aportando un bien a cambio de una ganancia financiera, en ocasiones asumiendo riesgos internos y externos. El valor es una función del riesgo y la ganancia. Cada decisión o bien aumenta, preserva o erosiona el valor. Teniendo en cuenta que el riesgo es parte integral de la búsqueda de valor, las empresas estratégicamente no se esfuerzan por eliminar el riesgo o incluso por minimizarlo, una perspectiva que representa un cambio fundamental desde el punto de la visión tradicional del riesgo como algo a evitar.</w:t>
      </w:r>
    </w:p>
    <w:p w:rsidR="004B1C14" w:rsidRDefault="004B1C14" w:rsidP="00AC2835">
      <w:pPr>
        <w:jc w:val="both"/>
        <w:rPr>
          <w:lang w:val="es-ES"/>
        </w:rPr>
      </w:pPr>
      <w:r>
        <w:rPr>
          <w:lang w:val="es-ES"/>
        </w:rPr>
        <w:t>Más bien, estas empresas buscan gestionar su exposición al ries</w:t>
      </w:r>
      <w:r w:rsidR="009F39EB">
        <w:rPr>
          <w:lang w:val="es-ES"/>
        </w:rPr>
        <w:t>go en todas sus partes para que, en un momento dado, incurran lo suficientes tipos de riesgos en los niveles adecuados – ni más, ni menos – para perseguir eficazmente los objetivos estratégicos. Este es el “punto dulce”, o la zona óptima de riesgos.</w:t>
      </w:r>
    </w:p>
    <w:p w:rsidR="009F39EB" w:rsidRDefault="009F39EB" w:rsidP="00AC2835">
      <w:pPr>
        <w:jc w:val="both"/>
        <w:rPr>
          <w:lang w:val="es-ES"/>
        </w:rPr>
      </w:pPr>
    </w:p>
    <w:p w:rsidR="008C6F6A" w:rsidRPr="00E079DE" w:rsidRDefault="006C30F9" w:rsidP="00966EEE">
      <w:pPr>
        <w:jc w:val="center"/>
        <w:rPr>
          <w:lang w:val="es-ES"/>
        </w:rPr>
      </w:pPr>
      <w:r w:rsidRPr="006C30F9">
        <w:rPr>
          <w:noProof/>
          <w:lang w:val="es-ES"/>
        </w:rPr>
        <w:lastRenderedPageBreak/>
        <w:drawing>
          <wp:inline distT="0" distB="0" distL="0" distR="0" wp14:anchorId="72502B24" wp14:editId="2FB783E0">
            <wp:extent cx="3956781" cy="3092116"/>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0535" cy="3095049"/>
                    </a:xfrm>
                    <a:prstGeom prst="rect">
                      <a:avLst/>
                    </a:prstGeom>
                  </pic:spPr>
                </pic:pic>
              </a:graphicData>
            </a:graphic>
          </wp:inline>
        </w:drawing>
      </w:r>
    </w:p>
    <w:sectPr w:rsidR="008C6F6A" w:rsidRPr="00E079DE" w:rsidSect="00E079DE">
      <w:headerReference w:type="default" r:id="rId7"/>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ABC" w:rsidRDefault="00834ABC" w:rsidP="00E079DE">
      <w:r>
        <w:separator/>
      </w:r>
    </w:p>
  </w:endnote>
  <w:endnote w:type="continuationSeparator" w:id="0">
    <w:p w:rsidR="00834ABC" w:rsidRDefault="00834ABC" w:rsidP="00E0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110"/>
      <w:gridCol w:w="2878"/>
      <w:gridCol w:w="2878"/>
    </w:tblGrid>
    <w:tr w:rsidR="00A943FB" w:rsidTr="00A943FB">
      <w:tc>
        <w:tcPr>
          <w:tcW w:w="5524" w:type="dxa"/>
        </w:tcPr>
        <w:p w:rsidR="00A943FB" w:rsidRPr="00A943FB" w:rsidRDefault="00A943FB" w:rsidP="00A943FB">
          <w:pPr>
            <w:pStyle w:val="Piedepgina"/>
            <w:jc w:val="center"/>
            <w:rPr>
              <w:b/>
              <w:bCs/>
              <w:sz w:val="21"/>
              <w:szCs w:val="21"/>
              <w:lang w:val="es-ES"/>
            </w:rPr>
          </w:pPr>
        </w:p>
      </w:tc>
      <w:tc>
        <w:tcPr>
          <w:tcW w:w="3110" w:type="dxa"/>
        </w:tcPr>
        <w:p w:rsidR="00A943FB" w:rsidRPr="00A943FB" w:rsidRDefault="00A943FB" w:rsidP="00A943FB">
          <w:pPr>
            <w:pStyle w:val="Piedepgina"/>
            <w:jc w:val="center"/>
            <w:rPr>
              <w:b/>
              <w:bCs/>
              <w:sz w:val="21"/>
              <w:szCs w:val="21"/>
              <w:lang w:val="es-ES"/>
            </w:rPr>
          </w:pPr>
        </w:p>
      </w:tc>
      <w:tc>
        <w:tcPr>
          <w:tcW w:w="2878" w:type="dxa"/>
        </w:tcPr>
        <w:p w:rsidR="00A943FB" w:rsidRPr="00A943FB" w:rsidRDefault="00A943FB" w:rsidP="00A943FB">
          <w:pPr>
            <w:pStyle w:val="Piedepgina"/>
            <w:jc w:val="center"/>
            <w:rPr>
              <w:b/>
              <w:bCs/>
              <w:sz w:val="21"/>
              <w:szCs w:val="21"/>
              <w:lang w:val="es-ES"/>
            </w:rPr>
          </w:pPr>
        </w:p>
      </w:tc>
      <w:tc>
        <w:tcPr>
          <w:tcW w:w="2878" w:type="dxa"/>
        </w:tcPr>
        <w:p w:rsidR="00A943FB" w:rsidRPr="00A943FB" w:rsidRDefault="00A943FB" w:rsidP="00A943FB">
          <w:pPr>
            <w:pStyle w:val="Piedepgina"/>
            <w:jc w:val="center"/>
            <w:rPr>
              <w:b/>
              <w:bCs/>
              <w:sz w:val="21"/>
              <w:szCs w:val="21"/>
              <w:lang w:val="es-ES"/>
            </w:rPr>
          </w:pPr>
        </w:p>
      </w:tc>
    </w:tr>
  </w:tbl>
  <w:tbl>
    <w:tblPr>
      <w:tblW w:w="0" w:type="auto"/>
      <w:jc w:val="center"/>
      <w:tblLook w:val="04A0" w:firstRow="1" w:lastRow="0" w:firstColumn="1" w:lastColumn="0" w:noHBand="0" w:noVBand="1"/>
    </w:tblPr>
    <w:tblGrid>
      <w:gridCol w:w="2574"/>
      <w:gridCol w:w="1492"/>
      <w:gridCol w:w="2552"/>
      <w:gridCol w:w="1843"/>
      <w:gridCol w:w="892"/>
    </w:tblGrid>
    <w:tr w:rsidR="007A68B7" w:rsidRPr="00F22BD9" w:rsidTr="002322A0">
      <w:trPr>
        <w:trHeight w:val="285"/>
        <w:jc w:val="center"/>
      </w:trPr>
      <w:tc>
        <w:tcPr>
          <w:tcW w:w="2574" w:type="dxa"/>
          <w:shd w:val="clear" w:color="auto" w:fill="auto"/>
          <w:vAlign w:val="center"/>
        </w:tcPr>
        <w:p w:rsidR="007A68B7" w:rsidRPr="0049128B" w:rsidRDefault="007A68B7" w:rsidP="007A68B7">
          <w:pPr>
            <w:pStyle w:val="Piedepgina"/>
            <w:rPr>
              <w:rFonts w:ascii="Arial Narrow" w:hAnsi="Arial Narrow" w:cs="Arial"/>
              <w:sz w:val="12"/>
              <w:szCs w:val="12"/>
            </w:rPr>
          </w:pPr>
          <w:r w:rsidRPr="0049128B">
            <w:rPr>
              <w:rFonts w:ascii="Arial Narrow" w:hAnsi="Arial Narrow" w:cs="Arial"/>
              <w:sz w:val="12"/>
              <w:szCs w:val="12"/>
            </w:rPr>
            <w:t>V</w:t>
          </w:r>
          <w:r>
            <w:rPr>
              <w:rFonts w:ascii="Arial Narrow" w:hAnsi="Arial Narrow" w:cs="Arial"/>
              <w:sz w:val="12"/>
              <w:szCs w:val="12"/>
            </w:rPr>
            <w:t xml:space="preserve">ER 1 Documento: </w:t>
          </w:r>
          <w:r w:rsidRPr="007A68B7">
            <w:rPr>
              <w:rFonts w:ascii="Arial Narrow" w:hAnsi="Arial Narrow" w:cs="Arial"/>
              <w:sz w:val="12"/>
              <w:szCs w:val="12"/>
            </w:rPr>
            <w:t>Matriz de Identificación de Riesgos y Oportunidades de energía</w:t>
          </w:r>
        </w:p>
      </w:tc>
      <w:tc>
        <w:tcPr>
          <w:tcW w:w="1492" w:type="dxa"/>
          <w:shd w:val="clear" w:color="auto" w:fill="auto"/>
          <w:vAlign w:val="center"/>
        </w:tcPr>
        <w:p w:rsidR="007A68B7" w:rsidRPr="00F22BD9" w:rsidRDefault="007A68B7" w:rsidP="007A68B7">
          <w:pPr>
            <w:pStyle w:val="Piedepgina"/>
            <w:rPr>
              <w:rFonts w:ascii="Arial Narrow" w:hAnsi="Arial Narrow" w:cs="Arial"/>
              <w:sz w:val="12"/>
              <w:szCs w:val="12"/>
            </w:rPr>
          </w:pPr>
          <w:r>
            <w:rPr>
              <w:rFonts w:ascii="Arial Narrow" w:hAnsi="Arial Narrow" w:cs="Arial"/>
              <w:sz w:val="12"/>
              <w:szCs w:val="12"/>
            </w:rPr>
            <w:t xml:space="preserve">       ELABORÓ</w:t>
          </w:r>
        </w:p>
        <w:p w:rsidR="007A68B7" w:rsidRPr="00F22BD9" w:rsidRDefault="007A68B7" w:rsidP="007A68B7">
          <w:pPr>
            <w:pStyle w:val="Piedepgina"/>
            <w:rPr>
              <w:rFonts w:ascii="Arial Narrow" w:hAnsi="Arial Narrow" w:cs="Arial"/>
              <w:sz w:val="12"/>
              <w:szCs w:val="12"/>
            </w:rPr>
          </w:pPr>
          <w:r>
            <w:rPr>
              <w:rFonts w:ascii="Arial Narrow" w:hAnsi="Arial Narrow" w:cs="Arial"/>
              <w:sz w:val="12"/>
              <w:szCs w:val="12"/>
            </w:rPr>
            <w:t>L.C.B/ 04-03-2020</w:t>
          </w:r>
        </w:p>
      </w:tc>
      <w:tc>
        <w:tcPr>
          <w:tcW w:w="2552" w:type="dxa"/>
          <w:shd w:val="clear" w:color="auto" w:fill="auto"/>
          <w:vAlign w:val="center"/>
        </w:tcPr>
        <w:p w:rsidR="007A68B7" w:rsidRPr="00F22BD9" w:rsidRDefault="007A68B7" w:rsidP="007A68B7">
          <w:pPr>
            <w:pStyle w:val="Piedepgina"/>
            <w:jc w:val="center"/>
            <w:rPr>
              <w:rFonts w:ascii="Arial Narrow" w:hAnsi="Arial Narrow" w:cs="Arial"/>
              <w:sz w:val="12"/>
              <w:szCs w:val="12"/>
            </w:rPr>
          </w:pPr>
          <w:r w:rsidRPr="00F22BD9">
            <w:rPr>
              <w:rFonts w:ascii="Arial Narrow" w:hAnsi="Arial Narrow" w:cs="Arial"/>
              <w:sz w:val="12"/>
              <w:szCs w:val="12"/>
            </w:rPr>
            <w:t>REVISÓ</w:t>
          </w:r>
        </w:p>
        <w:p w:rsidR="007A68B7" w:rsidRPr="00F22BD9" w:rsidRDefault="007A68B7" w:rsidP="007A68B7">
          <w:pPr>
            <w:pStyle w:val="Piedepgina"/>
            <w:jc w:val="center"/>
            <w:rPr>
              <w:rFonts w:ascii="Arial Narrow" w:hAnsi="Arial Narrow" w:cs="Arial"/>
              <w:sz w:val="12"/>
              <w:szCs w:val="12"/>
            </w:rPr>
          </w:pPr>
          <w:r>
            <w:rPr>
              <w:rFonts w:ascii="Arial Narrow" w:hAnsi="Arial Narrow" w:cs="Arial"/>
              <w:sz w:val="12"/>
              <w:szCs w:val="12"/>
            </w:rPr>
            <w:t>I.G.U.R</w:t>
          </w:r>
          <w:r w:rsidRPr="00F22BD9">
            <w:rPr>
              <w:rFonts w:ascii="Arial Narrow" w:hAnsi="Arial Narrow" w:cs="Arial"/>
              <w:sz w:val="12"/>
              <w:szCs w:val="12"/>
            </w:rPr>
            <w:t>/</w:t>
          </w:r>
          <w:r>
            <w:rPr>
              <w:rFonts w:ascii="Arial Narrow" w:hAnsi="Arial Narrow" w:cs="Arial"/>
              <w:sz w:val="12"/>
              <w:szCs w:val="12"/>
            </w:rPr>
            <w:t xml:space="preserve"> 05-03-2020</w:t>
          </w:r>
        </w:p>
      </w:tc>
      <w:tc>
        <w:tcPr>
          <w:tcW w:w="1843" w:type="dxa"/>
          <w:shd w:val="clear" w:color="auto" w:fill="auto"/>
          <w:vAlign w:val="center"/>
        </w:tcPr>
        <w:p w:rsidR="007A68B7" w:rsidRPr="00F22BD9" w:rsidRDefault="007A68B7" w:rsidP="007A68B7">
          <w:pPr>
            <w:pStyle w:val="Piedepgina"/>
            <w:jc w:val="center"/>
            <w:rPr>
              <w:rFonts w:ascii="Arial Narrow" w:hAnsi="Arial Narrow" w:cs="Arial"/>
              <w:sz w:val="12"/>
              <w:szCs w:val="12"/>
            </w:rPr>
          </w:pPr>
          <w:r w:rsidRPr="00F22BD9">
            <w:rPr>
              <w:rFonts w:ascii="Arial Narrow" w:hAnsi="Arial Narrow" w:cs="Arial"/>
              <w:sz w:val="12"/>
              <w:szCs w:val="12"/>
            </w:rPr>
            <w:t>AUTORIZÓ</w:t>
          </w:r>
        </w:p>
        <w:p w:rsidR="007A68B7" w:rsidRPr="00F22BD9" w:rsidRDefault="007A68B7" w:rsidP="007A68B7">
          <w:pPr>
            <w:pStyle w:val="Piedepgina"/>
            <w:jc w:val="center"/>
            <w:rPr>
              <w:rFonts w:ascii="Arial Narrow" w:hAnsi="Arial Narrow" w:cs="Arial"/>
              <w:sz w:val="12"/>
              <w:szCs w:val="12"/>
            </w:rPr>
          </w:pPr>
          <w:r>
            <w:rPr>
              <w:rFonts w:ascii="Arial Narrow" w:hAnsi="Arial Narrow" w:cs="Arial"/>
              <w:sz w:val="12"/>
              <w:szCs w:val="12"/>
            </w:rPr>
            <w:t>J.G.C.L</w:t>
          </w:r>
          <w:r w:rsidRPr="00F22BD9">
            <w:rPr>
              <w:rFonts w:ascii="Arial Narrow" w:hAnsi="Arial Narrow" w:cs="Arial"/>
              <w:sz w:val="12"/>
              <w:szCs w:val="12"/>
            </w:rPr>
            <w:t xml:space="preserve">/ </w:t>
          </w:r>
          <w:r>
            <w:rPr>
              <w:rFonts w:ascii="Arial Narrow" w:hAnsi="Arial Narrow" w:cs="Arial"/>
              <w:sz w:val="12"/>
              <w:szCs w:val="12"/>
            </w:rPr>
            <w:t>06-03-2020</w:t>
          </w:r>
        </w:p>
      </w:tc>
      <w:tc>
        <w:tcPr>
          <w:tcW w:w="892" w:type="dxa"/>
          <w:shd w:val="clear" w:color="auto" w:fill="auto"/>
          <w:vAlign w:val="center"/>
        </w:tcPr>
        <w:p w:rsidR="007A68B7" w:rsidRPr="00F22BD9" w:rsidRDefault="007A68B7" w:rsidP="007A68B7">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1</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5</w:t>
          </w:r>
          <w:r w:rsidRPr="00F22BD9">
            <w:rPr>
              <w:rFonts w:ascii="Arial Narrow" w:hAnsi="Arial Narrow" w:cs="Arial"/>
              <w:color w:val="000000"/>
              <w:sz w:val="12"/>
              <w:szCs w:val="12"/>
            </w:rPr>
            <w:fldChar w:fldCharType="end"/>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110"/>
      <w:gridCol w:w="2878"/>
      <w:gridCol w:w="2878"/>
    </w:tblGrid>
    <w:tr w:rsidR="00A943FB" w:rsidTr="00A943FB">
      <w:tc>
        <w:tcPr>
          <w:tcW w:w="5524" w:type="dxa"/>
        </w:tcPr>
        <w:p w:rsidR="00A943FB" w:rsidRPr="00A943FB" w:rsidRDefault="00A943FB" w:rsidP="00A943FB">
          <w:pPr>
            <w:pStyle w:val="Piedepgina"/>
            <w:jc w:val="center"/>
            <w:rPr>
              <w:b/>
              <w:bCs/>
              <w:sz w:val="21"/>
              <w:szCs w:val="21"/>
              <w:lang w:val="es-ES"/>
            </w:rPr>
          </w:pPr>
        </w:p>
      </w:tc>
      <w:tc>
        <w:tcPr>
          <w:tcW w:w="3110" w:type="dxa"/>
        </w:tcPr>
        <w:p w:rsidR="00A943FB" w:rsidRPr="00A943FB" w:rsidRDefault="00A943FB" w:rsidP="00A943FB">
          <w:pPr>
            <w:pStyle w:val="Piedepgina"/>
            <w:jc w:val="center"/>
            <w:rPr>
              <w:b/>
              <w:bCs/>
              <w:sz w:val="21"/>
              <w:szCs w:val="21"/>
              <w:lang w:val="es-ES"/>
            </w:rPr>
          </w:pPr>
        </w:p>
      </w:tc>
      <w:tc>
        <w:tcPr>
          <w:tcW w:w="2878" w:type="dxa"/>
        </w:tcPr>
        <w:p w:rsidR="00A943FB" w:rsidRPr="00A943FB" w:rsidRDefault="00A943FB" w:rsidP="00A943FB">
          <w:pPr>
            <w:pStyle w:val="Piedepgina"/>
            <w:jc w:val="center"/>
            <w:rPr>
              <w:b/>
              <w:bCs/>
              <w:sz w:val="21"/>
              <w:szCs w:val="21"/>
              <w:lang w:val="es-ES"/>
            </w:rPr>
          </w:pPr>
        </w:p>
      </w:tc>
      <w:tc>
        <w:tcPr>
          <w:tcW w:w="2878" w:type="dxa"/>
        </w:tcPr>
        <w:p w:rsidR="00A943FB" w:rsidRPr="00A943FB" w:rsidRDefault="00A943FB" w:rsidP="00A943FB">
          <w:pPr>
            <w:pStyle w:val="Piedepgina"/>
            <w:jc w:val="center"/>
            <w:rPr>
              <w:b/>
              <w:bCs/>
              <w:sz w:val="21"/>
              <w:szCs w:val="21"/>
              <w:lang w:val="es-ES"/>
            </w:rPr>
          </w:pPr>
        </w:p>
      </w:tc>
    </w:tr>
  </w:tbl>
  <w:p w:rsidR="00A943FB" w:rsidRPr="00A943FB" w:rsidRDefault="00A943FB">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ABC" w:rsidRDefault="00834ABC" w:rsidP="00E079DE">
      <w:r>
        <w:separator/>
      </w:r>
    </w:p>
  </w:footnote>
  <w:footnote w:type="continuationSeparator" w:id="0">
    <w:p w:rsidR="00834ABC" w:rsidRDefault="00834ABC" w:rsidP="00E0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35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751"/>
      <w:gridCol w:w="4985"/>
      <w:gridCol w:w="3788"/>
      <w:gridCol w:w="2834"/>
    </w:tblGrid>
    <w:tr w:rsidR="00E079DE" w:rsidRPr="00BE2C86" w:rsidTr="00E079DE">
      <w:trPr>
        <w:trHeight w:val="231"/>
      </w:trPr>
      <w:tc>
        <w:tcPr>
          <w:tcW w:w="2751" w:type="dxa"/>
          <w:vMerge w:val="restart"/>
          <w:shd w:val="clear" w:color="auto" w:fill="auto"/>
          <w:vAlign w:val="center"/>
        </w:tcPr>
        <w:p w:rsidR="00E079DE" w:rsidRPr="00BE2C86" w:rsidRDefault="00E079DE" w:rsidP="00E079DE">
          <w:pPr>
            <w:pStyle w:val="Encabezado"/>
            <w:jc w:val="center"/>
            <w:rPr>
              <w:rFonts w:ascii="Arial" w:hAnsi="Arial" w:cs="Arial"/>
              <w:b/>
            </w:rPr>
          </w:pPr>
          <w:r>
            <w:rPr>
              <w:rFonts w:ascii="Arial" w:hAnsi="Arial" w:cs="Arial"/>
              <w:b/>
              <w:noProof/>
            </w:rPr>
            <w:drawing>
              <wp:inline distT="0" distB="0" distL="0" distR="0" wp14:anchorId="3A69E96E" wp14:editId="0C2CF602">
                <wp:extent cx="1043709" cy="1043709"/>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_TEC.png"/>
                        <pic:cNvPicPr/>
                      </pic:nvPicPr>
                      <pic:blipFill>
                        <a:blip r:embed="rId1">
                          <a:extLst>
                            <a:ext uri="{28A0092B-C50C-407E-A947-70E740481C1C}">
                              <a14:useLocalDpi xmlns:a14="http://schemas.microsoft.com/office/drawing/2010/main" val="0"/>
                            </a:ext>
                          </a:extLst>
                        </a:blip>
                        <a:stretch>
                          <a:fillRect/>
                        </a:stretch>
                      </pic:blipFill>
                      <pic:spPr>
                        <a:xfrm>
                          <a:off x="0" y="0"/>
                          <a:ext cx="1047459" cy="1047459"/>
                        </a:xfrm>
                        <a:prstGeom prst="rect">
                          <a:avLst/>
                        </a:prstGeom>
                      </pic:spPr>
                    </pic:pic>
                  </a:graphicData>
                </a:graphic>
              </wp:inline>
            </w:drawing>
          </w:r>
        </w:p>
      </w:tc>
      <w:tc>
        <w:tcPr>
          <w:tcW w:w="4985" w:type="dxa"/>
          <w:vMerge w:val="restart"/>
          <w:shd w:val="clear" w:color="auto" w:fill="auto"/>
          <w:vAlign w:val="center"/>
        </w:tcPr>
        <w:p w:rsidR="00E079DE" w:rsidRPr="00D53130" w:rsidRDefault="00E079DE" w:rsidP="00E079DE">
          <w:pPr>
            <w:pStyle w:val="Encabezado"/>
            <w:jc w:val="right"/>
            <w:rPr>
              <w:rFonts w:ascii="Arial" w:hAnsi="Arial" w:cs="Arial"/>
              <w:b/>
            </w:rPr>
          </w:pPr>
        </w:p>
        <w:p w:rsidR="00E079DE" w:rsidRPr="004175E9" w:rsidRDefault="007A68B7" w:rsidP="00E079DE">
          <w:pPr>
            <w:pStyle w:val="Encabezado"/>
            <w:jc w:val="right"/>
            <w:rPr>
              <w:rFonts w:ascii="Arial" w:hAnsi="Arial" w:cs="Arial"/>
              <w:b/>
            </w:rPr>
          </w:pPr>
          <w:r>
            <w:rPr>
              <w:rFonts w:ascii="Arial" w:hAnsi="Arial" w:cs="Arial"/>
              <w:b/>
            </w:rPr>
            <w:t xml:space="preserve">Documento: Matriz de </w:t>
          </w:r>
          <w:r w:rsidR="00E079DE">
            <w:rPr>
              <w:rFonts w:ascii="Arial" w:hAnsi="Arial" w:cs="Arial"/>
              <w:b/>
            </w:rPr>
            <w:t>Identificación de Riesgos y Oportunidades</w:t>
          </w:r>
          <w:r>
            <w:rPr>
              <w:rFonts w:ascii="Arial" w:hAnsi="Arial" w:cs="Arial"/>
              <w:b/>
            </w:rPr>
            <w:t xml:space="preserve"> de energía</w:t>
          </w:r>
        </w:p>
      </w:tc>
      <w:tc>
        <w:tcPr>
          <w:tcW w:w="6622" w:type="dxa"/>
          <w:gridSpan w:val="2"/>
          <w:shd w:val="clear" w:color="auto" w:fill="auto"/>
          <w:vAlign w:val="center"/>
        </w:tcPr>
        <w:p w:rsidR="00E079DE" w:rsidRPr="009931F9" w:rsidRDefault="00E079DE" w:rsidP="00E079DE">
          <w:pPr>
            <w:pStyle w:val="Encabezado"/>
            <w:spacing w:before="60" w:after="60"/>
            <w:rPr>
              <w:rFonts w:ascii="Arial" w:hAnsi="Arial" w:cs="Arial"/>
              <w:b/>
              <w:sz w:val="16"/>
              <w:szCs w:val="16"/>
            </w:rPr>
          </w:pPr>
          <w:r w:rsidRPr="00C42EB2">
            <w:rPr>
              <w:rFonts w:ascii="Arial" w:hAnsi="Arial" w:cs="Arial"/>
              <w:b/>
              <w:sz w:val="16"/>
              <w:szCs w:val="16"/>
            </w:rPr>
            <w:t xml:space="preserve">Responsable: </w:t>
          </w:r>
          <w:r w:rsidR="007A68B7">
            <w:rPr>
              <w:rFonts w:ascii="Arial" w:hAnsi="Arial" w:cs="Arial"/>
              <w:b/>
              <w:sz w:val="16"/>
              <w:szCs w:val="16"/>
            </w:rPr>
            <w:t>Coordinación de energía y RD</w:t>
          </w:r>
        </w:p>
      </w:tc>
    </w:tr>
    <w:tr w:rsidR="00E079DE" w:rsidRPr="00BE2C86" w:rsidTr="00E079DE">
      <w:trPr>
        <w:trHeight w:val="231"/>
      </w:trPr>
      <w:tc>
        <w:tcPr>
          <w:tcW w:w="2751" w:type="dxa"/>
          <w:vMerge/>
          <w:shd w:val="clear" w:color="auto" w:fill="auto"/>
        </w:tcPr>
        <w:p w:rsidR="00E079DE" w:rsidRPr="00BE2C86" w:rsidRDefault="00E079DE" w:rsidP="00E079DE">
          <w:pPr>
            <w:pStyle w:val="Encabezado"/>
            <w:jc w:val="right"/>
            <w:rPr>
              <w:rFonts w:ascii="Arial" w:hAnsi="Arial" w:cs="Arial"/>
              <w:b/>
            </w:rPr>
          </w:pPr>
        </w:p>
      </w:tc>
      <w:tc>
        <w:tcPr>
          <w:tcW w:w="4985" w:type="dxa"/>
          <w:vMerge/>
          <w:shd w:val="clear" w:color="auto" w:fill="auto"/>
        </w:tcPr>
        <w:p w:rsidR="00E079DE" w:rsidRPr="0095607F" w:rsidRDefault="00E079DE" w:rsidP="00E079DE">
          <w:pPr>
            <w:pStyle w:val="Encabezado"/>
            <w:jc w:val="right"/>
            <w:rPr>
              <w:rFonts w:ascii="Arial" w:hAnsi="Arial" w:cs="Arial"/>
              <w:b/>
              <w:color w:val="999999"/>
            </w:rPr>
          </w:pPr>
        </w:p>
      </w:tc>
      <w:tc>
        <w:tcPr>
          <w:tcW w:w="3788" w:type="dxa"/>
          <w:shd w:val="clear" w:color="auto" w:fill="auto"/>
          <w:vAlign w:val="center"/>
        </w:tcPr>
        <w:p w:rsidR="00E079DE" w:rsidRPr="00C42EB2" w:rsidRDefault="00E079DE" w:rsidP="00E079DE">
          <w:pPr>
            <w:pStyle w:val="Encabezado"/>
            <w:spacing w:before="60" w:after="60"/>
            <w:rPr>
              <w:rFonts w:ascii="Arial" w:hAnsi="Arial" w:cs="Arial"/>
              <w:sz w:val="16"/>
              <w:szCs w:val="16"/>
            </w:rPr>
          </w:pPr>
          <w:r w:rsidRPr="00C42EB2">
            <w:rPr>
              <w:rFonts w:ascii="Arial" w:hAnsi="Arial" w:cs="Arial"/>
              <w:b/>
              <w:sz w:val="16"/>
              <w:szCs w:val="16"/>
            </w:rPr>
            <w:t xml:space="preserve">Código: </w:t>
          </w:r>
          <w:r>
            <w:rPr>
              <w:rFonts w:ascii="Arial" w:hAnsi="Arial" w:cs="Arial"/>
              <w:b/>
              <w:sz w:val="16"/>
              <w:szCs w:val="16"/>
            </w:rPr>
            <w:t>SIG-</w:t>
          </w:r>
          <w:r w:rsidR="007A68B7">
            <w:rPr>
              <w:rFonts w:ascii="Arial" w:hAnsi="Arial" w:cs="Arial"/>
              <w:b/>
              <w:sz w:val="16"/>
              <w:szCs w:val="16"/>
            </w:rPr>
            <w:t>I</w:t>
          </w:r>
          <w:r>
            <w:rPr>
              <w:rFonts w:ascii="Arial" w:hAnsi="Arial" w:cs="Arial"/>
              <w:b/>
              <w:sz w:val="16"/>
              <w:szCs w:val="16"/>
            </w:rPr>
            <w:t>N-</w:t>
          </w:r>
          <w:r w:rsidR="007A68B7">
            <w:rPr>
              <w:rFonts w:ascii="Arial" w:hAnsi="Arial" w:cs="Arial"/>
              <w:b/>
              <w:sz w:val="16"/>
              <w:szCs w:val="16"/>
            </w:rPr>
            <w:t>D</w:t>
          </w:r>
          <w:r>
            <w:rPr>
              <w:rFonts w:ascii="Arial" w:hAnsi="Arial" w:cs="Arial"/>
              <w:b/>
              <w:sz w:val="16"/>
              <w:szCs w:val="16"/>
            </w:rPr>
            <w:t>-35</w:t>
          </w:r>
          <w:r w:rsidR="007A68B7">
            <w:rPr>
              <w:rFonts w:ascii="Arial" w:hAnsi="Arial" w:cs="Arial"/>
              <w:b/>
              <w:sz w:val="16"/>
              <w:szCs w:val="16"/>
            </w:rPr>
            <w:t>-03</w:t>
          </w:r>
        </w:p>
      </w:tc>
      <w:tc>
        <w:tcPr>
          <w:tcW w:w="2833" w:type="dxa"/>
          <w:shd w:val="clear" w:color="auto" w:fill="auto"/>
          <w:vAlign w:val="center"/>
        </w:tcPr>
        <w:p w:rsidR="00E079DE" w:rsidRPr="00C42EB2" w:rsidRDefault="00E079DE" w:rsidP="00E079DE">
          <w:pPr>
            <w:pStyle w:val="Encabezado"/>
            <w:spacing w:before="60" w:after="60"/>
            <w:rPr>
              <w:rFonts w:ascii="Arial" w:hAnsi="Arial" w:cs="Arial"/>
              <w:b/>
              <w:sz w:val="16"/>
              <w:szCs w:val="16"/>
            </w:rPr>
          </w:pPr>
          <w:r w:rsidRPr="00C42EB2">
            <w:rPr>
              <w:rFonts w:ascii="Arial" w:hAnsi="Arial" w:cs="Arial"/>
              <w:b/>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sidRPr="00C42EB2">
            <w:rPr>
              <w:rFonts w:ascii="Arial" w:hAnsi="Arial" w:cs="Arial"/>
              <w:sz w:val="16"/>
              <w:szCs w:val="16"/>
            </w:rPr>
            <w:t xml:space="preserve"> de </w:t>
          </w:r>
          <w:r w:rsidRPr="00D1671B">
            <w:rPr>
              <w:rStyle w:val="Nmerodepgina"/>
              <w:rFonts w:ascii="Arial" w:hAnsi="Arial" w:cs="Arial"/>
              <w:sz w:val="16"/>
              <w:szCs w:val="16"/>
            </w:rPr>
            <w:fldChar w:fldCharType="begin"/>
          </w:r>
          <w:r w:rsidRPr="00D1671B">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D1671B">
            <w:rPr>
              <w:rStyle w:val="Nmerodepgina"/>
              <w:rFonts w:ascii="Arial" w:hAnsi="Arial" w:cs="Arial"/>
              <w:sz w:val="16"/>
              <w:szCs w:val="16"/>
            </w:rPr>
            <w:instrText xml:space="preserve"> </w:instrText>
          </w:r>
          <w:r w:rsidRPr="00D1671B">
            <w:rPr>
              <w:rStyle w:val="Nmerodepgina"/>
              <w:rFonts w:ascii="Arial" w:hAnsi="Arial" w:cs="Arial"/>
              <w:sz w:val="16"/>
              <w:szCs w:val="16"/>
            </w:rPr>
            <w:fldChar w:fldCharType="separate"/>
          </w:r>
          <w:r>
            <w:rPr>
              <w:rStyle w:val="Nmerodepgina"/>
              <w:rFonts w:ascii="Arial" w:hAnsi="Arial" w:cs="Arial"/>
              <w:noProof/>
              <w:sz w:val="16"/>
              <w:szCs w:val="16"/>
            </w:rPr>
            <w:t>5</w:t>
          </w:r>
          <w:r w:rsidRPr="00D1671B">
            <w:rPr>
              <w:rStyle w:val="Nmerodepgina"/>
              <w:rFonts w:ascii="Arial" w:hAnsi="Arial" w:cs="Arial"/>
              <w:sz w:val="16"/>
              <w:szCs w:val="16"/>
            </w:rPr>
            <w:fldChar w:fldCharType="end"/>
          </w:r>
        </w:p>
      </w:tc>
    </w:tr>
    <w:tr w:rsidR="00E079DE" w:rsidRPr="00BE2C86" w:rsidTr="00E079DE">
      <w:trPr>
        <w:trHeight w:val="231"/>
      </w:trPr>
      <w:tc>
        <w:tcPr>
          <w:tcW w:w="2751" w:type="dxa"/>
          <w:vMerge/>
          <w:shd w:val="clear" w:color="auto" w:fill="auto"/>
        </w:tcPr>
        <w:p w:rsidR="00E079DE" w:rsidRPr="00BE2C86" w:rsidRDefault="00E079DE" w:rsidP="00E079DE">
          <w:pPr>
            <w:pStyle w:val="Encabezado"/>
            <w:jc w:val="right"/>
            <w:rPr>
              <w:rFonts w:ascii="Arial" w:hAnsi="Arial" w:cs="Arial"/>
              <w:b/>
            </w:rPr>
          </w:pPr>
        </w:p>
      </w:tc>
      <w:tc>
        <w:tcPr>
          <w:tcW w:w="4985" w:type="dxa"/>
          <w:vMerge/>
          <w:shd w:val="clear" w:color="auto" w:fill="auto"/>
        </w:tcPr>
        <w:p w:rsidR="00E079DE" w:rsidRPr="0095607F" w:rsidRDefault="00E079DE" w:rsidP="00E079DE">
          <w:pPr>
            <w:pStyle w:val="Encabezado"/>
            <w:jc w:val="right"/>
            <w:rPr>
              <w:rFonts w:ascii="Arial" w:hAnsi="Arial" w:cs="Arial"/>
              <w:b/>
              <w:color w:val="999999"/>
            </w:rPr>
          </w:pPr>
        </w:p>
      </w:tc>
      <w:tc>
        <w:tcPr>
          <w:tcW w:w="6622" w:type="dxa"/>
          <w:gridSpan w:val="2"/>
          <w:shd w:val="clear" w:color="auto" w:fill="auto"/>
          <w:vAlign w:val="center"/>
        </w:tcPr>
        <w:p w:rsidR="00E079DE" w:rsidRPr="00C42EB2" w:rsidRDefault="00E079DE" w:rsidP="00E079DE">
          <w:pPr>
            <w:pStyle w:val="Encabezado"/>
            <w:spacing w:before="60" w:after="60"/>
            <w:jc w:val="center"/>
            <w:rPr>
              <w:rFonts w:ascii="Arial" w:hAnsi="Arial" w:cs="Arial"/>
              <w:sz w:val="16"/>
              <w:szCs w:val="16"/>
            </w:rPr>
          </w:pPr>
          <w:r w:rsidRPr="00C42EB2">
            <w:rPr>
              <w:rFonts w:ascii="Arial" w:hAnsi="Arial" w:cs="Arial"/>
              <w:b/>
              <w:sz w:val="16"/>
              <w:szCs w:val="16"/>
            </w:rPr>
            <w:t xml:space="preserve">Revisión: </w:t>
          </w:r>
          <w:r w:rsidR="00966EEE">
            <w:rPr>
              <w:rFonts w:ascii="Arial" w:hAnsi="Arial" w:cs="Arial"/>
              <w:sz w:val="16"/>
              <w:szCs w:val="16"/>
            </w:rPr>
            <w:t>0</w:t>
          </w:r>
        </w:p>
      </w:tc>
    </w:tr>
    <w:tr w:rsidR="00E079DE" w:rsidRPr="00BE2C86" w:rsidTr="00E079DE">
      <w:trPr>
        <w:trHeight w:val="81"/>
      </w:trPr>
      <w:tc>
        <w:tcPr>
          <w:tcW w:w="2751" w:type="dxa"/>
          <w:vMerge/>
          <w:shd w:val="clear" w:color="auto" w:fill="auto"/>
        </w:tcPr>
        <w:p w:rsidR="00E079DE" w:rsidRPr="00BE2C86" w:rsidRDefault="00E079DE" w:rsidP="00E079DE">
          <w:pPr>
            <w:pStyle w:val="Encabezado"/>
            <w:jc w:val="right"/>
            <w:rPr>
              <w:rFonts w:ascii="Arial" w:hAnsi="Arial" w:cs="Arial"/>
              <w:b/>
            </w:rPr>
          </w:pPr>
        </w:p>
      </w:tc>
      <w:tc>
        <w:tcPr>
          <w:tcW w:w="4985" w:type="dxa"/>
          <w:vMerge/>
          <w:shd w:val="clear" w:color="auto" w:fill="auto"/>
        </w:tcPr>
        <w:p w:rsidR="00E079DE" w:rsidRPr="0095607F" w:rsidRDefault="00E079DE" w:rsidP="00E079DE">
          <w:pPr>
            <w:pStyle w:val="Encabezado"/>
            <w:jc w:val="right"/>
            <w:rPr>
              <w:rFonts w:ascii="Arial" w:hAnsi="Arial" w:cs="Arial"/>
              <w:b/>
              <w:color w:val="999999"/>
            </w:rPr>
          </w:pPr>
        </w:p>
      </w:tc>
      <w:tc>
        <w:tcPr>
          <w:tcW w:w="3788" w:type="dxa"/>
          <w:shd w:val="clear" w:color="auto" w:fill="auto"/>
          <w:vAlign w:val="center"/>
        </w:tcPr>
        <w:p w:rsidR="00E079DE" w:rsidRDefault="00E079DE" w:rsidP="00E079DE">
          <w:pPr>
            <w:pStyle w:val="Encabezado"/>
            <w:rPr>
              <w:rFonts w:ascii="Arial" w:hAnsi="Arial" w:cs="Arial"/>
              <w:b/>
              <w:sz w:val="16"/>
              <w:szCs w:val="16"/>
            </w:rPr>
          </w:pPr>
          <w:r w:rsidRPr="00D53130">
            <w:rPr>
              <w:rFonts w:ascii="Arial" w:hAnsi="Arial" w:cs="Arial"/>
              <w:b/>
              <w:sz w:val="16"/>
              <w:szCs w:val="16"/>
            </w:rPr>
            <w:t xml:space="preserve">Referencia </w:t>
          </w:r>
        </w:p>
        <w:p w:rsidR="00E079DE" w:rsidRDefault="00E079DE" w:rsidP="00E079DE">
          <w:pPr>
            <w:pStyle w:val="Encabezado"/>
            <w:rPr>
              <w:rFonts w:ascii="Arial" w:hAnsi="Arial" w:cs="Arial"/>
              <w:b/>
              <w:sz w:val="16"/>
              <w:szCs w:val="16"/>
            </w:rPr>
          </w:pPr>
          <w:r>
            <w:rPr>
              <w:rFonts w:ascii="Arial" w:hAnsi="Arial" w:cs="Arial"/>
              <w:b/>
              <w:sz w:val="16"/>
              <w:szCs w:val="16"/>
            </w:rPr>
            <w:t>ISO 14001:2015: 6.1.2, 8.1</w:t>
          </w:r>
        </w:p>
        <w:p w:rsidR="00E079DE" w:rsidRDefault="00E079DE" w:rsidP="00E079DE">
          <w:pPr>
            <w:pStyle w:val="Encabezado"/>
            <w:rPr>
              <w:rFonts w:ascii="Arial" w:hAnsi="Arial" w:cs="Arial"/>
              <w:b/>
              <w:sz w:val="16"/>
              <w:szCs w:val="16"/>
            </w:rPr>
          </w:pPr>
          <w:r>
            <w:rPr>
              <w:rFonts w:ascii="Arial" w:hAnsi="Arial" w:cs="Arial"/>
              <w:b/>
              <w:sz w:val="16"/>
              <w:szCs w:val="16"/>
            </w:rPr>
            <w:t>ISO 50001: 2018: 6.2, 6.3, 6.4, 6.5, 6.6</w:t>
          </w:r>
        </w:p>
        <w:p w:rsidR="00E079DE" w:rsidRPr="009931F9" w:rsidRDefault="00E079DE" w:rsidP="00E079DE">
          <w:pPr>
            <w:pStyle w:val="Encabezado"/>
            <w:rPr>
              <w:rFonts w:ascii="Arial" w:hAnsi="Arial" w:cs="Arial"/>
              <w:b/>
              <w:sz w:val="16"/>
              <w:szCs w:val="16"/>
            </w:rPr>
          </w:pPr>
        </w:p>
      </w:tc>
      <w:tc>
        <w:tcPr>
          <w:tcW w:w="2833" w:type="dxa"/>
          <w:shd w:val="clear" w:color="auto" w:fill="auto"/>
          <w:vAlign w:val="center"/>
        </w:tcPr>
        <w:p w:rsidR="00E079DE" w:rsidRPr="00C42EB2" w:rsidRDefault="00E079DE" w:rsidP="00E079DE">
          <w:pPr>
            <w:pStyle w:val="Encabezado"/>
            <w:rPr>
              <w:rFonts w:ascii="Arial" w:hAnsi="Arial" w:cs="Arial"/>
              <w:sz w:val="16"/>
              <w:szCs w:val="16"/>
            </w:rPr>
          </w:pPr>
          <w:r w:rsidRPr="00C42EB2">
            <w:rPr>
              <w:rFonts w:ascii="Arial" w:hAnsi="Arial" w:cs="Arial"/>
              <w:b/>
              <w:sz w:val="16"/>
              <w:szCs w:val="16"/>
            </w:rPr>
            <w:t>Emisión</w:t>
          </w:r>
          <w:r w:rsidRPr="001D1686">
            <w:rPr>
              <w:rFonts w:ascii="Arial" w:hAnsi="Arial" w:cs="Arial"/>
              <w:sz w:val="16"/>
              <w:szCs w:val="16"/>
            </w:rPr>
            <w:t xml:space="preserve">: </w:t>
          </w:r>
          <w:r>
            <w:rPr>
              <w:rFonts w:ascii="Arial" w:hAnsi="Arial" w:cs="Arial"/>
              <w:sz w:val="16"/>
              <w:szCs w:val="16"/>
            </w:rPr>
            <w:t>Marzo 2020</w:t>
          </w:r>
        </w:p>
      </w:tc>
    </w:tr>
  </w:tbl>
  <w:p w:rsidR="00E079DE" w:rsidRDefault="00E079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DE"/>
    <w:rsid w:val="002154F0"/>
    <w:rsid w:val="00224BAC"/>
    <w:rsid w:val="00263F5C"/>
    <w:rsid w:val="0028490C"/>
    <w:rsid w:val="002B56A9"/>
    <w:rsid w:val="0031629A"/>
    <w:rsid w:val="003321A3"/>
    <w:rsid w:val="003C4AB0"/>
    <w:rsid w:val="0049070B"/>
    <w:rsid w:val="004B1C14"/>
    <w:rsid w:val="004B2CF7"/>
    <w:rsid w:val="004C6697"/>
    <w:rsid w:val="005216C4"/>
    <w:rsid w:val="0065356B"/>
    <w:rsid w:val="006C30F9"/>
    <w:rsid w:val="006C5D44"/>
    <w:rsid w:val="00714934"/>
    <w:rsid w:val="007A68B7"/>
    <w:rsid w:val="00834ABC"/>
    <w:rsid w:val="008C6F6A"/>
    <w:rsid w:val="00966EEE"/>
    <w:rsid w:val="009C0F25"/>
    <w:rsid w:val="009F39EB"/>
    <w:rsid w:val="00A07D2C"/>
    <w:rsid w:val="00A2685A"/>
    <w:rsid w:val="00A943FB"/>
    <w:rsid w:val="00AC2835"/>
    <w:rsid w:val="00AC33C4"/>
    <w:rsid w:val="00BD4CA5"/>
    <w:rsid w:val="00BF6066"/>
    <w:rsid w:val="00C93581"/>
    <w:rsid w:val="00D04395"/>
    <w:rsid w:val="00D24B99"/>
    <w:rsid w:val="00D45A13"/>
    <w:rsid w:val="00D66D32"/>
    <w:rsid w:val="00E079DE"/>
    <w:rsid w:val="00EC1D99"/>
    <w:rsid w:val="00EE4B76"/>
    <w:rsid w:val="00F24504"/>
    <w:rsid w:val="00F52821"/>
    <w:rsid w:val="00FA1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77F1E0-DA8A-4C48-AB59-1C4BA3B2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79DE"/>
    <w:pPr>
      <w:tabs>
        <w:tab w:val="center" w:pos="4419"/>
        <w:tab w:val="right" w:pos="8838"/>
      </w:tabs>
    </w:pPr>
  </w:style>
  <w:style w:type="character" w:customStyle="1" w:styleId="EncabezadoCar">
    <w:name w:val="Encabezado Car"/>
    <w:basedOn w:val="Fuentedeprrafopredeter"/>
    <w:link w:val="Encabezado"/>
    <w:rsid w:val="00E079DE"/>
  </w:style>
  <w:style w:type="paragraph" w:styleId="Piedepgina">
    <w:name w:val="footer"/>
    <w:basedOn w:val="Normal"/>
    <w:link w:val="PiedepginaCar"/>
    <w:unhideWhenUsed/>
    <w:rsid w:val="00E079DE"/>
    <w:pPr>
      <w:tabs>
        <w:tab w:val="center" w:pos="4419"/>
        <w:tab w:val="right" w:pos="8838"/>
      </w:tabs>
    </w:pPr>
  </w:style>
  <w:style w:type="character" w:customStyle="1" w:styleId="PiedepginaCar">
    <w:name w:val="Pie de página Car"/>
    <w:basedOn w:val="Fuentedeprrafopredeter"/>
    <w:link w:val="Piedepgina"/>
    <w:rsid w:val="00E079DE"/>
  </w:style>
  <w:style w:type="character" w:styleId="Nmerodepgina">
    <w:name w:val="page number"/>
    <w:basedOn w:val="Fuentedeprrafopredeter"/>
    <w:rsid w:val="00E079DE"/>
  </w:style>
  <w:style w:type="table" w:styleId="Tablaconcuadrcula">
    <w:name w:val="Table Grid"/>
    <w:basedOn w:val="Tablanormal"/>
    <w:uiPriority w:val="39"/>
    <w:rsid w:val="00E0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Instituto Tecnológico de Culiacán</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Leobardo Cortés Benítez</dc:creator>
  <cp:keywords/>
  <dc:description/>
  <cp:lastModifiedBy>Gestión de Calidad</cp:lastModifiedBy>
  <cp:revision>2</cp:revision>
  <dcterms:created xsi:type="dcterms:W3CDTF">2020-09-03T17:14:00Z</dcterms:created>
  <dcterms:modified xsi:type="dcterms:W3CDTF">2020-09-03T17:14:00Z</dcterms:modified>
</cp:coreProperties>
</file>